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2923A69" w:rsidP="411176C5" w:rsidRDefault="22923A69" w14:paraId="5C7D92C3" w14:textId="080F3B88">
      <w:pPr>
        <w:spacing w:line="276" w:lineRule="auto"/>
        <w:rPr>
          <w:rFonts w:asciiTheme="majorHAnsi" w:hAnsiTheme="majorHAnsi" w:eastAsiaTheme="majorEastAsia" w:cstheme="majorBidi"/>
          <w:color w:val="000000" w:themeColor="text1"/>
        </w:rPr>
      </w:pPr>
      <w:r w:rsidRPr="411176C5">
        <w:rPr>
          <w:rFonts w:asciiTheme="majorHAnsi" w:hAnsiTheme="majorHAnsi" w:eastAsiaTheme="majorEastAsia" w:cstheme="majorBidi"/>
          <w:i/>
          <w:iCs/>
          <w:color w:val="000000" w:themeColor="text1"/>
          <w:lang w:val="en"/>
        </w:rPr>
        <w:t>*This downloadable Word document can be modified and placed in your organization’s branded template</w:t>
      </w:r>
    </w:p>
    <w:p w:rsidR="00923B7E" w:rsidP="75FBC53F" w:rsidRDefault="00923B7E" w14:paraId="2F3683FC" w14:textId="77777777" w14:noSpellErr="1">
      <w:pPr>
        <w:pBdr>
          <w:top w:val="nil" w:color="000000" w:sz="0" w:space="0"/>
          <w:left w:val="nil" w:color="000000" w:sz="0" w:space="0"/>
          <w:bottom w:val="nil" w:color="000000" w:sz="0" w:space="0"/>
          <w:right w:val="nil" w:color="000000" w:sz="0" w:space="0"/>
          <w:between w:val="nil" w:color="000000" w:sz="0" w:space="0"/>
        </w:pBdr>
        <w:ind w:left="720"/>
        <w:jc w:val="center"/>
        <w:rPr>
          <w:rFonts w:ascii="Calibri" w:hAnsi="Calibri" w:eastAsia="ＭＳ ゴシック" w:cs="Times New Roman" w:asciiTheme="majorAscii" w:hAnsiTheme="majorAscii" w:eastAsiaTheme="majorEastAsia" w:cstheme="majorBidi"/>
          <w:b w:val="1"/>
          <w:bCs w:val="1"/>
          <w:color w:val="000000"/>
          <w:sz w:val="28"/>
          <w:szCs w:val="28"/>
        </w:rPr>
      </w:pPr>
      <w:r w:rsidRPr="75FBC53F" w:rsidR="00923B7E">
        <w:rPr>
          <w:rFonts w:ascii="Calibri" w:hAnsi="Calibri" w:eastAsia="ＭＳ ゴシック" w:cs="Times New Roman" w:asciiTheme="majorAscii" w:hAnsiTheme="majorAscii" w:eastAsiaTheme="majorEastAsia" w:cstheme="majorBidi"/>
          <w:b w:val="1"/>
          <w:bCs w:val="1"/>
          <w:color w:val="000000" w:themeColor="text1" w:themeTint="FF" w:themeShade="FF"/>
          <w:sz w:val="28"/>
          <w:szCs w:val="28"/>
        </w:rPr>
        <w:t>EV Readiness Plan Template</w:t>
      </w:r>
    </w:p>
    <w:p w:rsidR="00923B7E" w:rsidP="411176C5" w:rsidRDefault="00923B7E" w14:paraId="59722E64" w14:textId="77777777">
      <w:pPr>
        <w:rPr>
          <w:rFonts w:asciiTheme="majorHAnsi" w:hAnsiTheme="majorHAnsi" w:eastAsiaTheme="majorEastAsia" w:cstheme="majorBidi"/>
        </w:rPr>
      </w:pPr>
      <w:r w:rsidRPr="411176C5">
        <w:rPr>
          <w:rFonts w:asciiTheme="majorHAnsi" w:hAnsiTheme="majorHAnsi" w:eastAsiaTheme="majorEastAsia" w:cstheme="majorBidi"/>
        </w:rPr>
        <w:t>This document provides a sample template for an electric vehicle (EV) readiness plan.</w:t>
      </w:r>
      <w:r w:rsidRPr="411176C5">
        <w:rPr>
          <w:rFonts w:asciiTheme="majorHAnsi" w:hAnsiTheme="majorHAnsi" w:eastAsiaTheme="majorEastAsia" w:cstheme="majorBidi"/>
          <w:vertAlign w:val="superscript"/>
        </w:rPr>
        <w:footnoteReference w:id="2"/>
      </w:r>
      <w:r w:rsidRPr="411176C5">
        <w:rPr>
          <w:rFonts w:asciiTheme="majorHAnsi" w:hAnsiTheme="majorHAnsi" w:eastAsiaTheme="majorEastAsia" w:cstheme="majorBidi"/>
        </w:rPr>
        <w:t xml:space="preserve"> It can serve as a framework for the development of communitywide EV readiness plans for light-duty passenger vehicles and may be modified to suit the needs of communities. It is not comprehensive, and sections may be added or removed for the purposes of a given community. This template is not intended to detail a structure for municipal fleet electrification planning. </w:t>
      </w:r>
    </w:p>
    <w:p w:rsidR="00923B7E" w:rsidP="411176C5" w:rsidRDefault="00923B7E" w14:paraId="0C6A95FC" w14:textId="77777777">
      <w:pPr>
        <w:numPr>
          <w:ilvl w:val="0"/>
          <w:numId w:val="2"/>
        </w:numP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rPr>
        <w:t>Over</w:t>
      </w:r>
      <w:r w:rsidRPr="411176C5">
        <w:rPr>
          <w:rFonts w:asciiTheme="majorHAnsi" w:hAnsiTheme="majorHAnsi" w:eastAsiaTheme="majorEastAsia" w:cstheme="majorBidi"/>
          <w:b/>
          <w:bCs/>
          <w:color w:val="000000" w:themeColor="text1"/>
        </w:rPr>
        <w:t>view</w:t>
      </w:r>
      <w:r w:rsidRPr="411176C5">
        <w:rPr>
          <w:rFonts w:asciiTheme="majorHAnsi" w:hAnsiTheme="majorHAnsi" w:eastAsiaTheme="majorEastAsia" w:cstheme="majorBidi"/>
          <w:color w:val="FF0000"/>
        </w:rPr>
        <w:t xml:space="preserve"> </w:t>
      </w:r>
      <w:r w:rsidRPr="411176C5">
        <w:rPr>
          <w:rFonts w:asciiTheme="majorHAnsi" w:hAnsiTheme="majorHAnsi" w:eastAsiaTheme="majorEastAsia" w:cstheme="majorBidi"/>
          <w:i/>
          <w:iCs/>
          <w:color w:val="FF0000"/>
        </w:rPr>
        <w:t>This section describes the overall scope and purpose for the EV readiness plan to ensure clarity and alignment among team members, stakeholders, and readers.</w:t>
      </w:r>
    </w:p>
    <w:p w:rsidR="00923B7E" w:rsidP="411176C5" w:rsidRDefault="00923B7E" w14:paraId="7008AE59"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Description of Planning Area and Stakeholders Involved in the Planning Process</w:t>
      </w:r>
    </w:p>
    <w:p w:rsidR="00923B7E" w:rsidP="411176C5" w:rsidRDefault="00923B7E" w14:paraId="18158951"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 xml:space="preserve">Statement of Existing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 xml:space="preserve"> and/or Decarbonization Goals.</w:t>
      </w:r>
    </w:p>
    <w:p w:rsidR="00923B7E" w:rsidP="411176C5" w:rsidRDefault="00923B7E" w14:paraId="0D419B01" w14:textId="77777777">
      <w:pPr>
        <w:numPr>
          <w:ilvl w:val="0"/>
          <w:numId w:val="2"/>
        </w:numPr>
        <w:pBdr>
          <w:top w:val="nil"/>
          <w:left w:val="nil"/>
          <w:bottom w:val="nil"/>
          <w:right w:val="nil"/>
          <w:between w:val="nil"/>
        </w:pBd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rPr>
        <w:t>EV</w:t>
      </w:r>
      <w:r w:rsidRPr="411176C5">
        <w:rPr>
          <w:rFonts w:asciiTheme="majorHAnsi" w:hAnsiTheme="majorHAnsi" w:eastAsiaTheme="majorEastAsia" w:cstheme="majorBidi"/>
          <w:b/>
          <w:bCs/>
          <w:color w:val="000000" w:themeColor="text1"/>
        </w:rPr>
        <w:t xml:space="preserve"> Market: Current Deployment and Forecasted Growth </w:t>
      </w:r>
      <w:r w:rsidRPr="411176C5">
        <w:rPr>
          <w:rFonts w:asciiTheme="majorHAnsi" w:hAnsiTheme="majorHAnsi" w:eastAsiaTheme="majorEastAsia" w:cstheme="majorBidi"/>
          <w:i/>
          <w:iCs/>
          <w:color w:val="FF0000"/>
        </w:rPr>
        <w:t>This section describes where you are and where you want to go by detailing current conditions and contrasting those conditions with EV and EV charging infrastructure projections or goals.</w:t>
      </w:r>
    </w:p>
    <w:p w:rsidR="00923B7E" w:rsidP="411176C5" w:rsidRDefault="00923B7E" w14:paraId="28E44025"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 xml:space="preserve">Overview of National or State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 xml:space="preserve"> Market </w:t>
      </w:r>
    </w:p>
    <w:p w:rsidR="00923B7E" w:rsidP="411176C5" w:rsidRDefault="00923B7E" w14:paraId="577D898E"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 xml:space="preserve">Understanding Existing and Potential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 xml:space="preserve"> Drivers</w:t>
      </w:r>
    </w:p>
    <w:p w:rsidR="00923B7E" w:rsidP="411176C5" w:rsidRDefault="00923B7E" w14:paraId="0612FCAF"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 xml:space="preserve">Understanding Existing Charging Infrastructure and Projecting Infrastructure Needs </w:t>
      </w:r>
    </w:p>
    <w:p w:rsidR="00923B7E" w:rsidP="411176C5" w:rsidRDefault="00923B7E" w14:paraId="21746EDD"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Single-Family Residential Charging</w:t>
      </w:r>
    </w:p>
    <w:p w:rsidR="00923B7E" w:rsidP="411176C5" w:rsidRDefault="00923B7E" w14:paraId="0ACDCAFD"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Multifamily Housing and Workplace Charging</w:t>
      </w:r>
    </w:p>
    <w:p w:rsidR="00923B7E" w:rsidP="411176C5" w:rsidRDefault="00923B7E" w14:paraId="13F0EFF4"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Opportunity Charging.</w:t>
      </w:r>
    </w:p>
    <w:p w:rsidR="00923B7E" w:rsidP="411176C5" w:rsidRDefault="00923B7E" w14:paraId="1D322548" w14:textId="77777777">
      <w:pPr>
        <w:numPr>
          <w:ilvl w:val="0"/>
          <w:numId w:val="2"/>
        </w:numP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color w:val="000000" w:themeColor="text1"/>
        </w:rPr>
        <w:t xml:space="preserve">Policies, Programs, Incentives, and Funding </w:t>
      </w:r>
      <w:r w:rsidRPr="411176C5">
        <w:rPr>
          <w:rFonts w:asciiTheme="majorHAnsi" w:hAnsiTheme="majorHAnsi" w:eastAsiaTheme="majorEastAsia" w:cstheme="majorBidi"/>
          <w:i/>
          <w:iCs/>
          <w:color w:val="FF0000"/>
        </w:rPr>
        <w:t>This section describes existing policies and programs that could impact your EV plans or deployment goals. It identifies potential opportunities and barriers that those policies or programs could present.</w:t>
      </w:r>
    </w:p>
    <w:p w:rsidR="00923B7E" w:rsidP="411176C5" w:rsidRDefault="00923B7E" w14:paraId="27CCF321"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Federal-</w:t>
      </w:r>
      <w:r w:rsidRPr="411176C5">
        <w:rPr>
          <w:rFonts w:asciiTheme="majorHAnsi" w:hAnsiTheme="majorHAnsi" w:eastAsiaTheme="majorEastAsia" w:cstheme="majorBidi"/>
        </w:rPr>
        <w:t>L</w:t>
      </w:r>
      <w:r w:rsidRPr="411176C5">
        <w:rPr>
          <w:rFonts w:asciiTheme="majorHAnsi" w:hAnsiTheme="majorHAnsi" w:eastAsiaTheme="majorEastAsia" w:cstheme="majorBidi"/>
          <w:color w:val="000000" w:themeColor="text1"/>
        </w:rPr>
        <w:t xml:space="preserve">evel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Related Policies and Programs</w:t>
      </w:r>
    </w:p>
    <w:p w:rsidR="00923B7E" w:rsidP="411176C5" w:rsidRDefault="00923B7E" w14:paraId="7C9806C3"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State-</w:t>
      </w:r>
      <w:r w:rsidRPr="411176C5">
        <w:rPr>
          <w:rFonts w:asciiTheme="majorHAnsi" w:hAnsiTheme="majorHAnsi" w:eastAsiaTheme="majorEastAsia" w:cstheme="majorBidi"/>
        </w:rPr>
        <w:t>L</w:t>
      </w:r>
      <w:r w:rsidRPr="411176C5">
        <w:rPr>
          <w:rFonts w:asciiTheme="majorHAnsi" w:hAnsiTheme="majorHAnsi" w:eastAsiaTheme="majorEastAsia" w:cstheme="majorBidi"/>
          <w:color w:val="000000" w:themeColor="text1"/>
        </w:rPr>
        <w:t xml:space="preserve">evel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Related Policies and Programs</w:t>
      </w:r>
    </w:p>
    <w:p w:rsidR="00923B7E" w:rsidP="411176C5" w:rsidRDefault="00923B7E" w14:paraId="6F485582"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 xml:space="preserve">Regional </w:t>
      </w: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Related Stakeholders, Policies, and Programs</w:t>
      </w:r>
    </w:p>
    <w:p w:rsidR="00923B7E" w:rsidP="411176C5" w:rsidRDefault="00923B7E" w14:paraId="45054101"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rPr>
        <w:t>EV-</w:t>
      </w:r>
      <w:r w:rsidRPr="411176C5">
        <w:rPr>
          <w:rFonts w:asciiTheme="majorHAnsi" w:hAnsiTheme="majorHAnsi" w:eastAsiaTheme="majorEastAsia" w:cstheme="majorBidi"/>
          <w:color w:val="000000" w:themeColor="text1"/>
        </w:rPr>
        <w:t>Related Grants, Incentives, and Tax Credits.</w:t>
      </w:r>
    </w:p>
    <w:p w:rsidR="00923B7E" w:rsidP="411176C5" w:rsidRDefault="00923B7E" w14:paraId="759BA90A" w14:textId="77777777">
      <w:pPr>
        <w:numPr>
          <w:ilvl w:val="0"/>
          <w:numId w:val="2"/>
        </w:numPr>
        <w:pBdr>
          <w:top w:val="nil"/>
          <w:left w:val="nil"/>
          <w:bottom w:val="nil"/>
          <w:right w:val="nil"/>
          <w:between w:val="nil"/>
        </w:pBdr>
        <w:spacing w:after="0"/>
        <w:rPr>
          <w:rFonts w:asciiTheme="majorHAnsi" w:hAnsiTheme="majorHAnsi" w:eastAsiaTheme="majorEastAsia" w:cstheme="majorBidi"/>
          <w:color w:val="FF0000"/>
        </w:rPr>
      </w:pPr>
      <w:r w:rsidRPr="411176C5">
        <w:rPr>
          <w:rFonts w:asciiTheme="majorHAnsi" w:hAnsiTheme="majorHAnsi" w:eastAsiaTheme="majorEastAsia" w:cstheme="majorBidi"/>
          <w:b/>
          <w:bCs/>
          <w:color w:val="000000" w:themeColor="text1"/>
        </w:rPr>
        <w:t xml:space="preserve">Existing Barriers to Accelerated </w:t>
      </w:r>
      <w:r w:rsidRPr="411176C5">
        <w:rPr>
          <w:rFonts w:asciiTheme="majorHAnsi" w:hAnsiTheme="majorHAnsi" w:eastAsiaTheme="majorEastAsia" w:cstheme="majorBidi"/>
          <w:b/>
          <w:bCs/>
        </w:rPr>
        <w:t>EV</w:t>
      </w:r>
      <w:r w:rsidRPr="411176C5">
        <w:rPr>
          <w:rFonts w:asciiTheme="majorHAnsi" w:hAnsiTheme="majorHAnsi" w:eastAsiaTheme="majorEastAsia" w:cstheme="majorBidi"/>
          <w:b/>
          <w:bCs/>
          <w:color w:val="000000" w:themeColor="text1"/>
        </w:rPr>
        <w:t xml:space="preserve"> Adoption (e.g., Regional Coordination, Power Grid Capacity) </w:t>
      </w:r>
      <w:r w:rsidRPr="411176C5">
        <w:rPr>
          <w:rFonts w:asciiTheme="majorHAnsi" w:hAnsiTheme="majorHAnsi" w:eastAsiaTheme="majorEastAsia" w:cstheme="majorBidi"/>
          <w:i/>
          <w:iCs/>
          <w:color w:val="FF0000"/>
        </w:rPr>
        <w:t>This section provides a realistic representation of the barriers to increased EV adoption in the region. To develop a set of EV readiness strategies, you must first understand existing challenges.</w:t>
      </w:r>
    </w:p>
    <w:p w:rsidR="00923B7E" w:rsidP="411176C5" w:rsidRDefault="00923B7E" w14:paraId="6FB0D120" w14:textId="77777777">
      <w:pPr>
        <w:numPr>
          <w:ilvl w:val="0"/>
          <w:numId w:val="2"/>
        </w:numP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color w:val="000000" w:themeColor="text1"/>
        </w:rPr>
        <w:t xml:space="preserve">Strategies for Accelerating </w:t>
      </w:r>
      <w:r w:rsidRPr="411176C5">
        <w:rPr>
          <w:rFonts w:asciiTheme="majorHAnsi" w:hAnsiTheme="majorHAnsi" w:eastAsiaTheme="majorEastAsia" w:cstheme="majorBidi"/>
          <w:b/>
          <w:bCs/>
        </w:rPr>
        <w:t>EV</w:t>
      </w:r>
      <w:r w:rsidRPr="411176C5">
        <w:rPr>
          <w:rFonts w:asciiTheme="majorHAnsi" w:hAnsiTheme="majorHAnsi" w:eastAsiaTheme="majorEastAsia" w:cstheme="majorBidi"/>
          <w:b/>
          <w:bCs/>
          <w:color w:val="000000" w:themeColor="text1"/>
        </w:rPr>
        <w:t xml:space="preserve"> Adoption </w:t>
      </w:r>
      <w:r w:rsidRPr="411176C5">
        <w:rPr>
          <w:rFonts w:asciiTheme="majorHAnsi" w:hAnsiTheme="majorHAnsi" w:eastAsiaTheme="majorEastAsia" w:cstheme="majorBidi"/>
          <w:i/>
          <w:iCs/>
          <w:color w:val="FF0000"/>
        </w:rPr>
        <w:t xml:space="preserve">This section describes best practices that decision makers can leverage to accelerate EV adoption within a jurisdiction. </w:t>
      </w:r>
    </w:p>
    <w:p w:rsidR="00923B7E" w:rsidP="411176C5" w:rsidRDefault="00923B7E" w14:paraId="6D53B96D"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lastRenderedPageBreak/>
        <w:t>Local Incentives, Programs, and Technical Assistance</w:t>
      </w:r>
    </w:p>
    <w:p w:rsidR="00923B7E" w:rsidP="411176C5" w:rsidRDefault="00923B7E" w14:paraId="3FFD6DBA"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Revision of Codes</w:t>
      </w:r>
    </w:p>
    <w:p w:rsidR="00923B7E" w:rsidP="411176C5" w:rsidRDefault="00923B7E" w14:paraId="78675E65"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Building Codes</w:t>
      </w:r>
    </w:p>
    <w:p w:rsidR="00923B7E" w:rsidP="411176C5" w:rsidRDefault="00923B7E" w14:paraId="309D4320"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Permitting and Inspection</w:t>
      </w:r>
    </w:p>
    <w:p w:rsidR="00923B7E" w:rsidP="411176C5" w:rsidRDefault="00923B7E" w14:paraId="1C24F4F9" w14:textId="77777777">
      <w:pPr>
        <w:numPr>
          <w:ilvl w:val="2"/>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Zoning, Parking, and Other Local Ordinances.</w:t>
      </w:r>
    </w:p>
    <w:p w:rsidR="00923B7E" w:rsidP="411176C5" w:rsidRDefault="00923B7E" w14:paraId="50D6BFD6"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Consumer Education and Outreach</w:t>
      </w:r>
    </w:p>
    <w:p w:rsidR="00923B7E" w:rsidP="411176C5" w:rsidRDefault="00923B7E" w14:paraId="598A443D"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Workplace and Multifamily Housing Stakeholder Education and Outreach</w:t>
      </w:r>
    </w:p>
    <w:p w:rsidR="00923B7E" w:rsidP="411176C5" w:rsidRDefault="00923B7E" w14:paraId="2868CDA6"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Workforce Development</w:t>
      </w:r>
    </w:p>
    <w:p w:rsidR="00923B7E" w:rsidP="411176C5" w:rsidRDefault="00923B7E" w14:paraId="57A62BF3" w14:textId="77777777">
      <w:pPr>
        <w:numPr>
          <w:ilvl w:val="1"/>
          <w:numId w:val="2"/>
        </w:numPr>
        <w:pBdr>
          <w:top w:val="nil"/>
          <w:left w:val="nil"/>
          <w:bottom w:val="nil"/>
          <w:right w:val="nil"/>
          <w:between w:val="nil"/>
        </w:pBdr>
        <w:spacing w:after="0"/>
        <w:rPr>
          <w:rFonts w:asciiTheme="majorHAnsi" w:hAnsiTheme="majorHAnsi" w:eastAsiaTheme="majorEastAsia" w:cstheme="majorBidi"/>
          <w:b/>
          <w:bCs/>
          <w:color w:val="000000"/>
        </w:rPr>
      </w:pPr>
      <w:r w:rsidRPr="411176C5">
        <w:rPr>
          <w:rFonts w:asciiTheme="majorHAnsi" w:hAnsiTheme="majorHAnsi" w:eastAsiaTheme="majorEastAsia" w:cstheme="majorBidi"/>
          <w:color w:val="000000" w:themeColor="text1"/>
        </w:rPr>
        <w:t>Coordination with Utilities.</w:t>
      </w:r>
    </w:p>
    <w:p w:rsidR="00923B7E" w:rsidP="411176C5" w:rsidRDefault="00923B7E" w14:paraId="1CF0F088" w14:textId="77777777">
      <w:pPr>
        <w:numPr>
          <w:ilvl w:val="0"/>
          <w:numId w:val="2"/>
        </w:numP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color w:val="000000" w:themeColor="text1"/>
        </w:rPr>
        <w:t>Stakeholder Engagement</w:t>
      </w:r>
      <w:r w:rsidRPr="411176C5">
        <w:rPr>
          <w:rFonts w:asciiTheme="majorHAnsi" w:hAnsiTheme="majorHAnsi" w:eastAsiaTheme="majorEastAsia" w:cstheme="majorBidi"/>
          <w:color w:val="000000" w:themeColor="text1"/>
        </w:rPr>
        <w:t xml:space="preserve"> </w:t>
      </w:r>
      <w:r w:rsidRPr="411176C5">
        <w:rPr>
          <w:rFonts w:asciiTheme="majorHAnsi" w:hAnsiTheme="majorHAnsi" w:eastAsiaTheme="majorEastAsia" w:cstheme="majorBidi"/>
          <w:i/>
          <w:iCs/>
          <w:color w:val="FF0000"/>
        </w:rPr>
        <w:t>Input from community members and other stakeholders should inform your EV readiness plans. Your plans will be strengthened by appropriately identifying, approaching, and building relationships and engaging in discussions with these partners. Transparency and ongoing communication with these partners will help you build trust.</w:t>
      </w:r>
    </w:p>
    <w:p w:rsidR="00923B7E" w:rsidP="411176C5" w:rsidRDefault="00923B7E" w14:paraId="6248506B"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Target Audiences and Partnerships</w:t>
      </w:r>
    </w:p>
    <w:p w:rsidR="00923B7E" w:rsidP="411176C5" w:rsidRDefault="00923B7E" w14:paraId="0B420FDC"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Engagement Strategies and Goals</w:t>
      </w:r>
    </w:p>
    <w:p w:rsidR="00923B7E" w:rsidP="411176C5" w:rsidRDefault="00923B7E" w14:paraId="00672F7C" w14:textId="77777777">
      <w:pPr>
        <w:numPr>
          <w:ilvl w:val="1"/>
          <w:numId w:val="2"/>
        </w:numPr>
        <w:spacing w:after="0"/>
        <w:rPr>
          <w:rFonts w:asciiTheme="majorHAnsi" w:hAnsiTheme="majorHAnsi" w:eastAsiaTheme="majorEastAsia" w:cstheme="majorBidi"/>
          <w:color w:val="000000" w:themeColor="text1"/>
        </w:rPr>
      </w:pPr>
      <w:r w:rsidRPr="411176C5">
        <w:rPr>
          <w:rFonts w:asciiTheme="majorHAnsi" w:hAnsiTheme="majorHAnsi" w:eastAsiaTheme="majorEastAsia" w:cstheme="majorBidi"/>
          <w:color w:val="000000" w:themeColor="text1"/>
        </w:rPr>
        <w:t>Results of Previous Engagement Activities.</w:t>
      </w:r>
    </w:p>
    <w:p w:rsidR="00923B7E" w:rsidP="411176C5" w:rsidRDefault="00923B7E" w14:paraId="1195633E" w14:textId="77777777">
      <w:pPr>
        <w:numPr>
          <w:ilvl w:val="0"/>
          <w:numId w:val="2"/>
        </w:numPr>
        <w:pBdr>
          <w:top w:val="nil"/>
          <w:left w:val="nil"/>
          <w:bottom w:val="nil"/>
          <w:right w:val="nil"/>
          <w:between w:val="nil"/>
        </w:pBd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color w:val="000000" w:themeColor="text1"/>
        </w:rPr>
        <w:t>(Optional)</w:t>
      </w:r>
      <w:r w:rsidRPr="411176C5">
        <w:rPr>
          <w:rFonts w:asciiTheme="majorHAnsi" w:hAnsiTheme="majorHAnsi" w:eastAsiaTheme="majorEastAsia" w:cstheme="majorBidi"/>
          <w:b/>
          <w:bCs/>
          <w:color w:val="000000" w:themeColor="text1"/>
        </w:rPr>
        <w:t xml:space="preserve"> Siting Analysis </w:t>
      </w:r>
      <w:r w:rsidRPr="411176C5">
        <w:rPr>
          <w:rFonts w:asciiTheme="majorHAnsi" w:hAnsiTheme="majorHAnsi" w:eastAsiaTheme="majorEastAsia" w:cstheme="majorBidi"/>
          <w:i/>
          <w:iCs/>
          <w:color w:val="FF0000"/>
        </w:rPr>
        <w:t>If your organization has already prioritized sites or types of sites for EV charging, those priorities can be shared in the readiness plan. This section could feature your decision to emphasize certain sites in the near term over others, detail the factors that went into those decisions, and/or highlight relationships you hope to build with site hosts.</w:t>
      </w:r>
    </w:p>
    <w:p w:rsidR="00923B7E" w:rsidP="411176C5" w:rsidRDefault="00923B7E" w14:paraId="2B0D0809" w14:textId="77777777">
      <w:pPr>
        <w:numPr>
          <w:ilvl w:val="0"/>
          <w:numId w:val="2"/>
        </w:numPr>
        <w:pBdr>
          <w:top w:val="nil"/>
          <w:left w:val="nil"/>
          <w:bottom w:val="nil"/>
          <w:right w:val="nil"/>
          <w:between w:val="nil"/>
        </w:pBd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color w:val="000000" w:themeColor="text1"/>
        </w:rPr>
        <w:t xml:space="preserve">(Optional) </w:t>
      </w:r>
      <w:r w:rsidRPr="411176C5">
        <w:rPr>
          <w:rFonts w:asciiTheme="majorHAnsi" w:hAnsiTheme="majorHAnsi" w:eastAsiaTheme="majorEastAsia" w:cstheme="majorBidi"/>
          <w:b/>
          <w:bCs/>
          <w:color w:val="000000" w:themeColor="text1"/>
        </w:rPr>
        <w:t xml:space="preserve">Lead by Example – Putting Electrification </w:t>
      </w:r>
      <w:proofErr w:type="gramStart"/>
      <w:r w:rsidRPr="411176C5">
        <w:rPr>
          <w:rFonts w:asciiTheme="majorHAnsi" w:hAnsiTheme="majorHAnsi" w:eastAsiaTheme="majorEastAsia" w:cstheme="majorBidi"/>
          <w:b/>
          <w:bCs/>
          <w:color w:val="000000" w:themeColor="text1"/>
        </w:rPr>
        <w:t>Into</w:t>
      </w:r>
      <w:proofErr w:type="gramEnd"/>
      <w:r w:rsidRPr="411176C5">
        <w:rPr>
          <w:rFonts w:asciiTheme="majorHAnsi" w:hAnsiTheme="majorHAnsi" w:eastAsiaTheme="majorEastAsia" w:cstheme="majorBidi"/>
          <w:b/>
          <w:bCs/>
          <w:color w:val="000000" w:themeColor="text1"/>
        </w:rPr>
        <w:t xml:space="preserve"> Practice With the Municipal Fleet </w:t>
      </w:r>
      <w:r w:rsidRPr="411176C5">
        <w:rPr>
          <w:rFonts w:asciiTheme="majorHAnsi" w:hAnsiTheme="majorHAnsi" w:eastAsiaTheme="majorEastAsia" w:cstheme="majorBidi"/>
          <w:i/>
          <w:iCs/>
          <w:color w:val="FF0000"/>
        </w:rPr>
        <w:t xml:space="preserve">If your organization has plans or goals related to converting your own public fleets to EVs, they can be described here to show your broader commitment to transportation electrification. </w:t>
      </w:r>
    </w:p>
    <w:p w:rsidR="00923B7E" w:rsidP="411176C5" w:rsidRDefault="00923B7E" w14:paraId="2DFA0031" w14:textId="77777777">
      <w:pPr>
        <w:numPr>
          <w:ilvl w:val="0"/>
          <w:numId w:val="2"/>
        </w:numPr>
        <w:pBdr>
          <w:top w:val="nil"/>
          <w:left w:val="nil"/>
          <w:bottom w:val="nil"/>
          <w:right w:val="nil"/>
          <w:between w:val="nil"/>
        </w:pBdr>
        <w:spacing w:after="0"/>
        <w:rPr>
          <w:rFonts w:asciiTheme="majorHAnsi" w:hAnsiTheme="majorHAnsi" w:eastAsiaTheme="majorEastAsia" w:cstheme="majorBidi"/>
          <w:i/>
          <w:iCs/>
          <w:color w:val="FF0000"/>
        </w:rPr>
      </w:pPr>
      <w:r w:rsidRPr="411176C5">
        <w:rPr>
          <w:rFonts w:asciiTheme="majorHAnsi" w:hAnsiTheme="majorHAnsi" w:eastAsiaTheme="majorEastAsia" w:cstheme="majorBidi"/>
          <w:b/>
          <w:bCs/>
          <w:color w:val="000000" w:themeColor="text1"/>
        </w:rPr>
        <w:t xml:space="preserve">Transportation Electrification Goals and Implementation of the Plan </w:t>
      </w:r>
      <w:r w:rsidRPr="411176C5">
        <w:rPr>
          <w:rFonts w:asciiTheme="majorHAnsi" w:hAnsiTheme="majorHAnsi" w:eastAsiaTheme="majorEastAsia" w:cstheme="majorBidi"/>
          <w:i/>
          <w:iCs/>
          <w:color w:val="FF0000"/>
        </w:rPr>
        <w:t>This section is the culmination of all previous sections. It provides a structure to your implementation plan and details the actions that you recommend or plan to take. Those actions should be listed on a specific timeline that will enable you to meet your electrification goals.</w:t>
      </w:r>
    </w:p>
    <w:p w:rsidR="00923B7E" w:rsidP="411176C5" w:rsidRDefault="00923B7E" w14:paraId="6AE62952"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Electrification Goals</w:t>
      </w:r>
    </w:p>
    <w:p w:rsidR="00923B7E" w:rsidP="411176C5" w:rsidRDefault="00923B7E" w14:paraId="1ACC209C"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Short-</w:t>
      </w:r>
      <w:r w:rsidRPr="411176C5">
        <w:rPr>
          <w:rFonts w:asciiTheme="majorHAnsi" w:hAnsiTheme="majorHAnsi" w:eastAsiaTheme="majorEastAsia" w:cstheme="majorBidi"/>
        </w:rPr>
        <w:t>T</w:t>
      </w:r>
      <w:r w:rsidRPr="411176C5">
        <w:rPr>
          <w:rFonts w:asciiTheme="majorHAnsi" w:hAnsiTheme="majorHAnsi" w:eastAsiaTheme="majorEastAsia" w:cstheme="majorBidi"/>
          <w:color w:val="000000" w:themeColor="text1"/>
        </w:rPr>
        <w:t>erm (1–2-Year) Actions</w:t>
      </w:r>
    </w:p>
    <w:p w:rsidR="00923B7E" w:rsidP="411176C5" w:rsidRDefault="00923B7E" w14:paraId="240BB0DA" w14:textId="77777777">
      <w:pPr>
        <w:numPr>
          <w:ilvl w:val="1"/>
          <w:numId w:val="2"/>
        </w:numPr>
        <w:pBdr>
          <w:top w:val="nil"/>
          <w:left w:val="nil"/>
          <w:bottom w:val="nil"/>
          <w:right w:val="nil"/>
          <w:between w:val="nil"/>
        </w:pBdr>
        <w:spacing w:after="0"/>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Medium-</w:t>
      </w:r>
      <w:r w:rsidRPr="411176C5">
        <w:rPr>
          <w:rFonts w:asciiTheme="majorHAnsi" w:hAnsiTheme="majorHAnsi" w:eastAsiaTheme="majorEastAsia" w:cstheme="majorBidi"/>
        </w:rPr>
        <w:t>T</w:t>
      </w:r>
      <w:r w:rsidRPr="411176C5">
        <w:rPr>
          <w:rFonts w:asciiTheme="majorHAnsi" w:hAnsiTheme="majorHAnsi" w:eastAsiaTheme="majorEastAsia" w:cstheme="majorBidi"/>
          <w:color w:val="000000" w:themeColor="text1"/>
        </w:rPr>
        <w:t>erm (3–5-Year) Actions</w:t>
      </w:r>
    </w:p>
    <w:p w:rsidR="00923B7E" w:rsidP="411176C5" w:rsidRDefault="00923B7E" w14:paraId="6F8C6D2A" w14:textId="77777777">
      <w:pPr>
        <w:numPr>
          <w:ilvl w:val="1"/>
          <w:numId w:val="2"/>
        </w:numPr>
        <w:pBdr>
          <w:top w:val="nil"/>
          <w:left w:val="nil"/>
          <w:bottom w:val="nil"/>
          <w:right w:val="nil"/>
          <w:between w:val="nil"/>
        </w:pBdr>
        <w:rPr>
          <w:rFonts w:asciiTheme="majorHAnsi" w:hAnsiTheme="majorHAnsi" w:eastAsiaTheme="majorEastAsia" w:cstheme="majorBidi"/>
          <w:color w:val="000000"/>
        </w:rPr>
      </w:pPr>
      <w:r w:rsidRPr="411176C5">
        <w:rPr>
          <w:rFonts w:asciiTheme="majorHAnsi" w:hAnsiTheme="majorHAnsi" w:eastAsiaTheme="majorEastAsia" w:cstheme="majorBidi"/>
          <w:color w:val="000000" w:themeColor="text1"/>
        </w:rPr>
        <w:t>Long-</w:t>
      </w:r>
      <w:r w:rsidRPr="411176C5">
        <w:rPr>
          <w:rFonts w:asciiTheme="majorHAnsi" w:hAnsiTheme="majorHAnsi" w:eastAsiaTheme="majorEastAsia" w:cstheme="majorBidi"/>
        </w:rPr>
        <w:t>T</w:t>
      </w:r>
      <w:r w:rsidRPr="411176C5">
        <w:rPr>
          <w:rFonts w:asciiTheme="majorHAnsi" w:hAnsiTheme="majorHAnsi" w:eastAsiaTheme="majorEastAsia" w:cstheme="majorBidi"/>
          <w:color w:val="000000" w:themeColor="text1"/>
        </w:rPr>
        <w:t>erm (6–10-Year) Actions.</w:t>
      </w:r>
    </w:p>
    <w:p w:rsidRPr="00923B7E" w:rsidR="00587148" w:rsidP="411176C5" w:rsidRDefault="00587148" w14:paraId="7200D64C" w14:textId="4907117B">
      <w:pPr>
        <w:rPr>
          <w:rFonts w:asciiTheme="majorHAnsi" w:hAnsiTheme="majorHAnsi" w:eastAsiaTheme="majorEastAsia" w:cstheme="majorBidi"/>
        </w:rPr>
      </w:pPr>
    </w:p>
    <w:sectPr w:rsidRPr="00923B7E" w:rsidR="00587148">
      <w:headerReference w:type="default" r:id="rId11"/>
      <w:foot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304" w:rsidRDefault="00344304" w14:paraId="1A07B387" w14:textId="77777777">
      <w:pPr>
        <w:spacing w:after="0" w:line="240" w:lineRule="auto"/>
      </w:pPr>
      <w:r>
        <w:separator/>
      </w:r>
    </w:p>
  </w:endnote>
  <w:endnote w:type="continuationSeparator" w:id="0">
    <w:p w:rsidR="00344304" w:rsidRDefault="00344304" w14:paraId="0835C31E" w14:textId="77777777">
      <w:pPr>
        <w:spacing w:after="0" w:line="240" w:lineRule="auto"/>
      </w:pPr>
      <w:r>
        <w:continuationSeparator/>
      </w:r>
    </w:p>
  </w:endnote>
  <w:endnote w:type="continuationNotice" w:id="1">
    <w:p w:rsidR="00344304" w:rsidRDefault="00344304" w14:paraId="1EF34E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4D8A63" w:rsidTr="3C4D8A63" w14:paraId="7200D65A" w14:textId="77777777">
      <w:trPr>
        <w:trHeight w:val="300"/>
      </w:trPr>
      <w:tc>
        <w:tcPr>
          <w:tcW w:w="3120" w:type="dxa"/>
        </w:tcPr>
        <w:p w:rsidR="3C4D8A63" w:rsidP="3C4D8A63" w:rsidRDefault="3C4D8A63" w14:paraId="7200D657" w14:textId="77777777">
          <w:pPr>
            <w:pStyle w:val="Header"/>
            <w:ind w:left="-115"/>
          </w:pPr>
        </w:p>
      </w:tc>
      <w:tc>
        <w:tcPr>
          <w:tcW w:w="3120" w:type="dxa"/>
        </w:tcPr>
        <w:p w:rsidR="3C4D8A63" w:rsidP="3C4D8A63" w:rsidRDefault="3C4D8A63" w14:paraId="7200D658" w14:textId="77777777">
          <w:pPr>
            <w:pStyle w:val="Header"/>
            <w:jc w:val="center"/>
          </w:pPr>
        </w:p>
      </w:tc>
      <w:tc>
        <w:tcPr>
          <w:tcW w:w="3120" w:type="dxa"/>
        </w:tcPr>
        <w:p w:rsidR="3C4D8A63" w:rsidP="3C4D8A63" w:rsidRDefault="3C4D8A63" w14:paraId="7200D659" w14:textId="77777777">
          <w:pPr>
            <w:pStyle w:val="Header"/>
            <w:ind w:right="-115"/>
            <w:jc w:val="right"/>
          </w:pPr>
        </w:p>
      </w:tc>
    </w:tr>
  </w:tbl>
  <w:p w:rsidRPr="00581C2B" w:rsidR="003D6332" w:rsidP="003D6332" w:rsidRDefault="003D6332" w14:paraId="007D4B3E" w14:textId="77777777">
    <w:pPr>
      <w:pBdr>
        <w:top w:val="nil"/>
        <w:left w:val="nil"/>
        <w:bottom w:val="nil"/>
        <w:right w:val="nil"/>
        <w:between w:val="nil"/>
      </w:pBdr>
      <w:tabs>
        <w:tab w:val="center" w:pos="4680"/>
        <w:tab w:val="right" w:pos="9360"/>
      </w:tabs>
      <w:spacing w:line="240" w:lineRule="auto"/>
      <w:rPr>
        <w:color w:val="000000"/>
        <w:sz w:val="20"/>
        <w:szCs w:val="20"/>
      </w:rPr>
    </w:pPr>
    <w:r w:rsidRPr="00581C2B">
      <w:rPr>
        <w:rStyle w:val="normaltextrun"/>
        <w:color w:val="000000"/>
        <w:sz w:val="20"/>
        <w:szCs w:val="20"/>
        <w:shd w:val="clear" w:color="auto" w:fill="FFFFFF"/>
      </w:rPr>
      <w:t>Th</w:t>
    </w:r>
    <w:r>
      <w:rPr>
        <w:rStyle w:val="normaltextrun"/>
        <w:color w:val="000000"/>
        <w:sz w:val="20"/>
        <w:szCs w:val="20"/>
        <w:shd w:val="clear" w:color="auto" w:fill="FFFFFF"/>
      </w:rPr>
      <w:t xml:space="preserve">is </w:t>
    </w:r>
    <w:r w:rsidRPr="00581C2B">
      <w:rPr>
        <w:rStyle w:val="normaltextrun"/>
        <w:color w:val="000000"/>
        <w:sz w:val="20"/>
        <w:szCs w:val="20"/>
        <w:shd w:val="clear" w:color="auto" w:fill="FFFFFF"/>
      </w:rPr>
      <w:t xml:space="preserve">content was adapted from resources developed by </w:t>
    </w:r>
    <w:r>
      <w:rPr>
        <w:rStyle w:val="normaltextrun"/>
        <w:color w:val="000000"/>
        <w:sz w:val="20"/>
        <w:szCs w:val="20"/>
        <w:shd w:val="clear" w:color="auto" w:fill="FFFFFF"/>
      </w:rPr>
      <w:t xml:space="preserve">the </w:t>
    </w:r>
    <w:r w:rsidRPr="00581C2B">
      <w:rPr>
        <w:rStyle w:val="normaltextrun"/>
        <w:color w:val="000000"/>
        <w:sz w:val="20"/>
        <w:szCs w:val="20"/>
        <w:shd w:val="clear" w:color="auto" w:fill="FFFFFF"/>
      </w:rPr>
      <w:t>N</w:t>
    </w:r>
    <w:r>
      <w:rPr>
        <w:rStyle w:val="normaltextrun"/>
        <w:color w:val="000000"/>
        <w:sz w:val="20"/>
        <w:szCs w:val="20"/>
        <w:shd w:val="clear" w:color="auto" w:fill="FFFFFF"/>
      </w:rPr>
      <w:t xml:space="preserve">ational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enewable </w:t>
    </w:r>
    <w:r w:rsidRPr="00581C2B">
      <w:rPr>
        <w:rStyle w:val="normaltextrun"/>
        <w:color w:val="000000"/>
        <w:sz w:val="20"/>
        <w:szCs w:val="20"/>
        <w:shd w:val="clear" w:color="auto" w:fill="FFFFFF"/>
      </w:rPr>
      <w:t>E</w:t>
    </w:r>
    <w:r>
      <w:rPr>
        <w:rStyle w:val="normaltextrun"/>
        <w:color w:val="000000"/>
        <w:sz w:val="20"/>
        <w:szCs w:val="20"/>
        <w:shd w:val="clear" w:color="auto" w:fill="FFFFFF"/>
      </w:rPr>
      <w:t xml:space="preserve">nergy </w:t>
    </w:r>
    <w:r w:rsidRPr="00581C2B">
      <w:rPr>
        <w:rStyle w:val="normaltextrun"/>
        <w:color w:val="000000"/>
        <w:sz w:val="20"/>
        <w:szCs w:val="20"/>
        <w:shd w:val="clear" w:color="auto" w:fill="FFFFFF"/>
      </w:rPr>
      <w:t>L</w:t>
    </w:r>
    <w:r>
      <w:rPr>
        <w:rStyle w:val="normaltextrun"/>
        <w:color w:val="000000"/>
        <w:sz w:val="20"/>
        <w:szCs w:val="20"/>
        <w:shd w:val="clear" w:color="auto" w:fill="FFFFFF"/>
      </w:rPr>
      <w:t>aboratory</w:t>
    </w:r>
    <w:r w:rsidRPr="00581C2B">
      <w:rPr>
        <w:rStyle w:val="normaltextrun"/>
        <w:color w:val="000000"/>
        <w:sz w:val="20"/>
        <w:szCs w:val="20"/>
        <w:shd w:val="clear" w:color="auto" w:fill="FFFFFF"/>
      </w:rPr>
      <w:t xml:space="preserve"> and W</w:t>
    </w:r>
    <w:r>
      <w:rPr>
        <w:rStyle w:val="normaltextrun"/>
        <w:color w:val="000000"/>
        <w:sz w:val="20"/>
        <w:szCs w:val="20"/>
        <w:shd w:val="clear" w:color="auto" w:fill="FFFFFF"/>
      </w:rPr>
      <w:t xml:space="preserve">orld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esources </w:t>
    </w:r>
    <w:r w:rsidRPr="00581C2B">
      <w:rPr>
        <w:rStyle w:val="normaltextrun"/>
        <w:color w:val="000000"/>
        <w:sz w:val="20"/>
        <w:szCs w:val="20"/>
        <w:shd w:val="clear" w:color="auto" w:fill="FFFFFF"/>
      </w:rPr>
      <w:t>I</w:t>
    </w:r>
    <w:r>
      <w:rPr>
        <w:rStyle w:val="normaltextrun"/>
        <w:color w:val="000000"/>
        <w:sz w:val="20"/>
        <w:szCs w:val="20"/>
        <w:shd w:val="clear" w:color="auto" w:fill="FFFFFF"/>
      </w:rPr>
      <w:t>nstitute</w:t>
    </w:r>
    <w:r w:rsidRPr="00581C2B">
      <w:rPr>
        <w:rStyle w:val="normaltextrun"/>
        <w:color w:val="000000"/>
        <w:sz w:val="20"/>
        <w:szCs w:val="20"/>
        <w:shd w:val="clear" w:color="auto" w:fill="FFFFFF"/>
      </w:rPr>
      <w:t xml:space="preserve"> as part of the </w:t>
    </w:r>
    <w:hyperlink w:tgtFrame="_blank" w:history="1" r:id="rId1">
      <w:r w:rsidRPr="00581C2B">
        <w:rPr>
          <w:rStyle w:val="normaltextrun"/>
          <w:color w:val="1155CC"/>
          <w:sz w:val="20"/>
          <w:szCs w:val="20"/>
          <w:u w:val="single"/>
          <w:shd w:val="clear" w:color="auto" w:fill="FFFFFF"/>
        </w:rPr>
        <w:t>Clean Energy to Communities (C2C)</w:t>
      </w:r>
    </w:hyperlink>
    <w:r w:rsidRPr="00581C2B">
      <w:rPr>
        <w:rStyle w:val="normaltextrun"/>
        <w:color w:val="000000"/>
        <w:sz w:val="20"/>
        <w:szCs w:val="20"/>
        <w:shd w:val="clear" w:color="auto" w:fill="FFFFFF"/>
      </w:rPr>
      <w:t xml:space="preserve"> peer-learning cohorts and funded by the Joint Office of Energy and Transportation</w:t>
    </w:r>
    <w:r>
      <w:rPr>
        <w:rStyle w:val="normaltextrun"/>
        <w:color w:val="000000"/>
        <w:sz w:val="20"/>
        <w:szCs w:val="20"/>
        <w:shd w:val="clear" w:color="auto" w:fill="FFFFFF"/>
      </w:rPr>
      <w:t xml:space="preserve"> for distribution.  </w:t>
    </w:r>
  </w:p>
  <w:p w:rsidR="003D6332" w:rsidP="003D6332" w:rsidRDefault="003D6332" w14:paraId="61BC294B" w14:textId="77777777">
    <w:pPr>
      <w:pStyle w:val="Footer"/>
    </w:pPr>
  </w:p>
  <w:p w:rsidR="3C4D8A63" w:rsidP="3C4D8A63" w:rsidRDefault="3C4D8A63" w14:paraId="7200D6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304" w:rsidRDefault="00344304" w14:paraId="2CACD915" w14:textId="77777777">
      <w:pPr>
        <w:spacing w:after="0" w:line="240" w:lineRule="auto"/>
      </w:pPr>
      <w:r>
        <w:separator/>
      </w:r>
    </w:p>
  </w:footnote>
  <w:footnote w:type="continuationSeparator" w:id="0">
    <w:p w:rsidR="00344304" w:rsidRDefault="00344304" w14:paraId="629AA078" w14:textId="77777777">
      <w:pPr>
        <w:spacing w:after="0" w:line="240" w:lineRule="auto"/>
      </w:pPr>
      <w:r>
        <w:continuationSeparator/>
      </w:r>
    </w:p>
  </w:footnote>
  <w:footnote w:type="continuationNotice" w:id="1">
    <w:p w:rsidR="00344304" w:rsidRDefault="00344304" w14:paraId="7D9BA7CD" w14:textId="77777777">
      <w:pPr>
        <w:spacing w:after="0" w:line="240" w:lineRule="auto"/>
      </w:pPr>
    </w:p>
  </w:footnote>
  <w:footnote w:id="2">
    <w:p w:rsidR="00923B7E" w:rsidP="00923B7E" w:rsidRDefault="00923B7E" w14:paraId="6159A77E" w14:textId="77777777">
      <w:pPr>
        <w:rPr>
          <w:rFonts w:ascii="Times New Roman" w:hAnsi="Times New Roman" w:eastAsia="Times New Roman" w:cs="Times New Roman"/>
          <w:sz w:val="18"/>
          <w:szCs w:val="18"/>
        </w:rPr>
      </w:pPr>
      <w:r w:rsidRPr="008C3109">
        <w:rPr>
          <w:rFonts w:ascii="Times New Roman" w:hAnsi="Times New Roman" w:cs="Times New Roman"/>
          <w:sz w:val="18"/>
          <w:szCs w:val="18"/>
          <w:vertAlign w:val="superscript"/>
        </w:rPr>
        <w:footnoteRef/>
      </w:r>
      <w:r w:rsidRPr="008C3109">
        <w:rPr>
          <w:rFonts w:ascii="Times New Roman" w:hAnsi="Times New Roman" w:cs="Times New Roman"/>
          <w:sz w:val="18"/>
          <w:szCs w:val="18"/>
        </w:rPr>
        <w:t xml:space="preserve"> The authors reviewed many plans and incorporated sections into this</w:t>
      </w:r>
      <w:r w:rsidRPr="00D80B02">
        <w:rPr>
          <w:rFonts w:ascii="Times New Roman" w:hAnsi="Times New Roman" w:eastAsia="Times New Roman" w:cs="Times New Roman"/>
          <w:sz w:val="18"/>
          <w:szCs w:val="18"/>
        </w:rPr>
        <w:t xml:space="preserve"> document, </w:t>
      </w:r>
      <w:r>
        <w:rPr>
          <w:rFonts w:ascii="Times New Roman" w:hAnsi="Times New Roman" w:eastAsia="Times New Roman" w:cs="Times New Roman"/>
          <w:sz w:val="18"/>
          <w:szCs w:val="18"/>
        </w:rPr>
        <w:t xml:space="preserve">particularly the </w:t>
      </w:r>
      <w:hyperlink r:id="rId1">
        <w:r>
          <w:rPr>
            <w:rFonts w:ascii="Times New Roman" w:hAnsi="Times New Roman" w:eastAsia="Times New Roman" w:cs="Times New Roman"/>
            <w:color w:val="0563C1"/>
            <w:sz w:val="18"/>
            <w:szCs w:val="18"/>
            <w:u w:val="single"/>
          </w:rPr>
          <w:t>Tahoe-Truckee Plug-in Electric Vehicle Readiness Plan</w:t>
        </w:r>
      </w:hyperlink>
      <w:r>
        <w:rPr>
          <w:rFonts w:ascii="Times New Roman" w:hAnsi="Times New Roman" w:eastAsia="Times New Roman" w:cs="Times New Roman"/>
          <w:sz w:val="18"/>
          <w:szCs w:val="18"/>
        </w:rPr>
        <w:t xml:space="preserve"> and </w:t>
      </w:r>
      <w:hyperlink r:id="rId2">
        <w:r>
          <w:rPr>
            <w:rFonts w:ascii="Times New Roman" w:hAnsi="Times New Roman" w:eastAsia="Times New Roman" w:cs="Times New Roman"/>
            <w:color w:val="0563C1"/>
            <w:sz w:val="18"/>
            <w:szCs w:val="18"/>
            <w:u w:val="single"/>
          </w:rPr>
          <w:t>Bay Area Plug-in Electric Vehicle Readiness Plan</w:t>
        </w:r>
      </w:hyperlink>
      <w:r>
        <w:rPr>
          <w:rFonts w:ascii="Times New Roman" w:hAnsi="Times New Roman" w:eastAsia="Times New Roman" w:cs="Times New Roman"/>
          <w:sz w:val="18"/>
          <w:szCs w:val="18"/>
        </w:rPr>
        <w:t xml:space="preserve">, both of which are available on the </w:t>
      </w:r>
      <w:hyperlink r:id="rId3">
        <w:r>
          <w:rPr>
            <w:rFonts w:ascii="Times New Roman" w:hAnsi="Times New Roman" w:eastAsia="Times New Roman" w:cs="Times New Roman"/>
            <w:color w:val="1155CC"/>
            <w:sz w:val="18"/>
            <w:szCs w:val="18"/>
            <w:u w:val="single"/>
          </w:rPr>
          <w:t>Alternative Fuels Data Center</w:t>
        </w:r>
      </w:hyperlink>
      <w:r>
        <w:rPr>
          <w:rFonts w:ascii="Times New Roman" w:hAnsi="Times New Roman" w:eastAsia="Times New Roman" w:cs="Times New Roman"/>
          <w:sz w:val="18"/>
          <w:szCs w:val="18"/>
        </w:rPr>
        <w:t>.</w:t>
      </w:r>
    </w:p>
    <w:p w:rsidR="00923B7E" w:rsidP="00923B7E" w:rsidRDefault="00923B7E" w14:paraId="477B876E" w14:textId="77777777">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4D8A63" w:rsidTr="3C4D8A63" w14:paraId="7200D655" w14:textId="77777777">
      <w:trPr>
        <w:trHeight w:val="300"/>
      </w:trPr>
      <w:tc>
        <w:tcPr>
          <w:tcW w:w="3120" w:type="dxa"/>
        </w:tcPr>
        <w:p w:rsidR="3C4D8A63" w:rsidP="3C4D8A63" w:rsidRDefault="3C4D8A63" w14:paraId="7200D652" w14:textId="77777777">
          <w:pPr>
            <w:pStyle w:val="Header"/>
            <w:ind w:left="-115"/>
          </w:pPr>
        </w:p>
      </w:tc>
      <w:tc>
        <w:tcPr>
          <w:tcW w:w="3120" w:type="dxa"/>
        </w:tcPr>
        <w:p w:rsidR="3C4D8A63" w:rsidP="3C4D8A63" w:rsidRDefault="3C4D8A63" w14:paraId="7200D653" w14:textId="77777777">
          <w:pPr>
            <w:pStyle w:val="Header"/>
            <w:jc w:val="center"/>
          </w:pPr>
        </w:p>
      </w:tc>
      <w:tc>
        <w:tcPr>
          <w:tcW w:w="3120" w:type="dxa"/>
        </w:tcPr>
        <w:p w:rsidR="3C4D8A63" w:rsidP="3C4D8A63" w:rsidRDefault="3C4D8A63" w14:paraId="7200D654" w14:textId="77777777">
          <w:pPr>
            <w:pStyle w:val="Header"/>
            <w:ind w:right="-115"/>
            <w:jc w:val="right"/>
          </w:pPr>
        </w:p>
      </w:tc>
    </w:tr>
  </w:tbl>
  <w:p w:rsidR="3C4D8A63" w:rsidP="3C4D8A63" w:rsidRDefault="3C4D8A63" w14:paraId="7200D6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8FB0"/>
    <w:multiLevelType w:val="hybridMultilevel"/>
    <w:tmpl w:val="4A46ECFA"/>
    <w:lvl w:ilvl="0" w:tplc="D7D466D8">
      <w:start w:val="1"/>
      <w:numFmt w:val="upperRoman"/>
      <w:lvlText w:val="%1."/>
      <w:lvlJc w:val="right"/>
      <w:pPr>
        <w:ind w:left="720" w:hanging="360"/>
      </w:pPr>
    </w:lvl>
    <w:lvl w:ilvl="1" w:tplc="FE14E28A">
      <w:start w:val="1"/>
      <w:numFmt w:val="lowerLetter"/>
      <w:lvlText w:val="%2."/>
      <w:lvlJc w:val="left"/>
      <w:pPr>
        <w:ind w:left="1440" w:hanging="360"/>
      </w:pPr>
    </w:lvl>
    <w:lvl w:ilvl="2" w:tplc="815299E8">
      <w:start w:val="1"/>
      <w:numFmt w:val="lowerRoman"/>
      <w:lvlText w:val="%3."/>
      <w:lvlJc w:val="right"/>
      <w:pPr>
        <w:ind w:left="2160" w:hanging="180"/>
      </w:pPr>
    </w:lvl>
    <w:lvl w:ilvl="3" w:tplc="F06E4DF2">
      <w:start w:val="1"/>
      <w:numFmt w:val="decimal"/>
      <w:lvlText w:val="%4."/>
      <w:lvlJc w:val="left"/>
      <w:pPr>
        <w:ind w:left="2880" w:hanging="360"/>
      </w:pPr>
    </w:lvl>
    <w:lvl w:ilvl="4" w:tplc="9926DBB8">
      <w:start w:val="1"/>
      <w:numFmt w:val="lowerLetter"/>
      <w:lvlText w:val="%5."/>
      <w:lvlJc w:val="left"/>
      <w:pPr>
        <w:ind w:left="3600" w:hanging="360"/>
      </w:pPr>
    </w:lvl>
    <w:lvl w:ilvl="5" w:tplc="AFEC667A">
      <w:start w:val="1"/>
      <w:numFmt w:val="lowerRoman"/>
      <w:lvlText w:val="%6."/>
      <w:lvlJc w:val="right"/>
      <w:pPr>
        <w:ind w:left="4320" w:hanging="180"/>
      </w:pPr>
    </w:lvl>
    <w:lvl w:ilvl="6" w:tplc="C5D281A6">
      <w:start w:val="1"/>
      <w:numFmt w:val="decimal"/>
      <w:lvlText w:val="%7."/>
      <w:lvlJc w:val="left"/>
      <w:pPr>
        <w:ind w:left="5040" w:hanging="360"/>
      </w:pPr>
    </w:lvl>
    <w:lvl w:ilvl="7" w:tplc="5BB6F2CA">
      <w:start w:val="1"/>
      <w:numFmt w:val="lowerLetter"/>
      <w:lvlText w:val="%8."/>
      <w:lvlJc w:val="left"/>
      <w:pPr>
        <w:ind w:left="5760" w:hanging="360"/>
      </w:pPr>
    </w:lvl>
    <w:lvl w:ilvl="8" w:tplc="D074A9A0">
      <w:start w:val="1"/>
      <w:numFmt w:val="lowerRoman"/>
      <w:lvlText w:val="%9."/>
      <w:lvlJc w:val="right"/>
      <w:pPr>
        <w:ind w:left="6480" w:hanging="180"/>
      </w:pPr>
    </w:lvl>
  </w:abstractNum>
  <w:abstractNum w:abstractNumId="1" w15:restartNumberingAfterBreak="0">
    <w:nsid w:val="60A727A0"/>
    <w:multiLevelType w:val="hybridMultilevel"/>
    <w:tmpl w:val="FFFFFFFF"/>
    <w:lvl w:ilvl="0" w:tplc="4CDCFB06">
      <w:start w:val="1"/>
      <w:numFmt w:val="upperRoman"/>
      <w:lvlText w:val="%1."/>
      <w:lvlJc w:val="right"/>
      <w:pPr>
        <w:ind w:left="720" w:hanging="360"/>
      </w:pPr>
      <w:rPr>
        <w:b/>
      </w:rPr>
    </w:lvl>
    <w:lvl w:ilvl="1" w:tplc="BEB4B7CE">
      <w:start w:val="1"/>
      <w:numFmt w:val="lowerLetter"/>
      <w:lvlText w:val="%2."/>
      <w:lvlJc w:val="left"/>
      <w:pPr>
        <w:ind w:left="1440" w:hanging="360"/>
      </w:pPr>
      <w:rPr>
        <w:b w:val="0"/>
      </w:rPr>
    </w:lvl>
    <w:lvl w:ilvl="2" w:tplc="E28C9034">
      <w:start w:val="1"/>
      <w:numFmt w:val="lowerRoman"/>
      <w:lvlText w:val="%3."/>
      <w:lvlJc w:val="right"/>
      <w:pPr>
        <w:ind w:left="2160" w:hanging="180"/>
      </w:pPr>
    </w:lvl>
    <w:lvl w:ilvl="3" w:tplc="8AF69A28">
      <w:start w:val="1"/>
      <w:numFmt w:val="decimal"/>
      <w:lvlText w:val="%4."/>
      <w:lvlJc w:val="left"/>
      <w:pPr>
        <w:ind w:left="2880" w:hanging="360"/>
      </w:pPr>
    </w:lvl>
    <w:lvl w:ilvl="4" w:tplc="96D4CC72">
      <w:start w:val="1"/>
      <w:numFmt w:val="lowerLetter"/>
      <w:lvlText w:val="%5."/>
      <w:lvlJc w:val="left"/>
      <w:pPr>
        <w:ind w:left="3600" w:hanging="360"/>
      </w:pPr>
    </w:lvl>
    <w:lvl w:ilvl="5" w:tplc="D84090F8">
      <w:start w:val="1"/>
      <w:numFmt w:val="lowerRoman"/>
      <w:lvlText w:val="%6."/>
      <w:lvlJc w:val="right"/>
      <w:pPr>
        <w:ind w:left="4320" w:hanging="180"/>
      </w:pPr>
    </w:lvl>
    <w:lvl w:ilvl="6" w:tplc="13E0DB88">
      <w:start w:val="1"/>
      <w:numFmt w:val="decimal"/>
      <w:lvlText w:val="%7."/>
      <w:lvlJc w:val="left"/>
      <w:pPr>
        <w:ind w:left="5040" w:hanging="360"/>
      </w:pPr>
    </w:lvl>
    <w:lvl w:ilvl="7" w:tplc="A32A3488">
      <w:start w:val="1"/>
      <w:numFmt w:val="lowerLetter"/>
      <w:lvlText w:val="%8."/>
      <w:lvlJc w:val="left"/>
      <w:pPr>
        <w:ind w:left="5760" w:hanging="360"/>
      </w:pPr>
    </w:lvl>
    <w:lvl w:ilvl="8" w:tplc="A8A8AE74">
      <w:start w:val="1"/>
      <w:numFmt w:val="lowerRoman"/>
      <w:lvlText w:val="%9."/>
      <w:lvlJc w:val="right"/>
      <w:pPr>
        <w:ind w:left="6480" w:hanging="180"/>
      </w:pPr>
    </w:lvl>
  </w:abstractNum>
  <w:num w:numId="1" w16cid:durableId="634413334">
    <w:abstractNumId w:val="0"/>
  </w:num>
  <w:num w:numId="2" w16cid:durableId="135734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48"/>
    <w:rsid w:val="0021553B"/>
    <w:rsid w:val="00336DDC"/>
    <w:rsid w:val="00344304"/>
    <w:rsid w:val="003A216A"/>
    <w:rsid w:val="003D6332"/>
    <w:rsid w:val="00587148"/>
    <w:rsid w:val="00775F5D"/>
    <w:rsid w:val="008222A8"/>
    <w:rsid w:val="00912EBE"/>
    <w:rsid w:val="00923B7E"/>
    <w:rsid w:val="00935A2F"/>
    <w:rsid w:val="00B840B2"/>
    <w:rsid w:val="00C20CDB"/>
    <w:rsid w:val="00CA5858"/>
    <w:rsid w:val="00E36A25"/>
    <w:rsid w:val="0131CAAA"/>
    <w:rsid w:val="0145F073"/>
    <w:rsid w:val="014E6236"/>
    <w:rsid w:val="03A1DA71"/>
    <w:rsid w:val="03BF88D4"/>
    <w:rsid w:val="0519596A"/>
    <w:rsid w:val="051A6B71"/>
    <w:rsid w:val="05C1ABD6"/>
    <w:rsid w:val="05D93813"/>
    <w:rsid w:val="06053BCD"/>
    <w:rsid w:val="063C4AC7"/>
    <w:rsid w:val="06CF7A0F"/>
    <w:rsid w:val="07314E5F"/>
    <w:rsid w:val="075FAD1D"/>
    <w:rsid w:val="07A8DF75"/>
    <w:rsid w:val="09017D8A"/>
    <w:rsid w:val="09808267"/>
    <w:rsid w:val="0A3796EE"/>
    <w:rsid w:val="0B856017"/>
    <w:rsid w:val="0C34DC8D"/>
    <w:rsid w:val="0C796A50"/>
    <w:rsid w:val="0C990263"/>
    <w:rsid w:val="0D401611"/>
    <w:rsid w:val="0DA08FE3"/>
    <w:rsid w:val="0DCA8D61"/>
    <w:rsid w:val="0DF7612A"/>
    <w:rsid w:val="0E183B38"/>
    <w:rsid w:val="0E3B95B4"/>
    <w:rsid w:val="0EEB122A"/>
    <w:rsid w:val="0F3D58DD"/>
    <w:rsid w:val="0F764BCE"/>
    <w:rsid w:val="0FB40B99"/>
    <w:rsid w:val="11035806"/>
    <w:rsid w:val="113BABCB"/>
    <w:rsid w:val="116C7386"/>
    <w:rsid w:val="11E3AE0D"/>
    <w:rsid w:val="12B8A7F9"/>
    <w:rsid w:val="12EBAC5B"/>
    <w:rsid w:val="130843E7"/>
    <w:rsid w:val="1308D617"/>
    <w:rsid w:val="14961A81"/>
    <w:rsid w:val="14B17314"/>
    <w:rsid w:val="14BD4CBC"/>
    <w:rsid w:val="14FC8FC5"/>
    <w:rsid w:val="156DE5F8"/>
    <w:rsid w:val="1636DFA1"/>
    <w:rsid w:val="17DBB50A"/>
    <w:rsid w:val="184E2C44"/>
    <w:rsid w:val="1946BDB0"/>
    <w:rsid w:val="19CDACC8"/>
    <w:rsid w:val="1AE28E11"/>
    <w:rsid w:val="1B52A8EC"/>
    <w:rsid w:val="1BD47C5C"/>
    <w:rsid w:val="1C342799"/>
    <w:rsid w:val="1C9B9B20"/>
    <w:rsid w:val="1CF57DE2"/>
    <w:rsid w:val="1E632DCE"/>
    <w:rsid w:val="2140E796"/>
    <w:rsid w:val="228C8792"/>
    <w:rsid w:val="22923A69"/>
    <w:rsid w:val="22C75CC4"/>
    <w:rsid w:val="22EB24D5"/>
    <w:rsid w:val="236A87E3"/>
    <w:rsid w:val="2450D8D1"/>
    <w:rsid w:val="247A3FE8"/>
    <w:rsid w:val="2488EB0F"/>
    <w:rsid w:val="25D147CF"/>
    <w:rsid w:val="25EF5E4C"/>
    <w:rsid w:val="268337CB"/>
    <w:rsid w:val="286592B2"/>
    <w:rsid w:val="28EC43DD"/>
    <w:rsid w:val="2964CF00"/>
    <w:rsid w:val="29A9C05C"/>
    <w:rsid w:val="29D278B9"/>
    <w:rsid w:val="29D400EA"/>
    <w:rsid w:val="2A4BAC3F"/>
    <w:rsid w:val="2A99977D"/>
    <w:rsid w:val="2B009F61"/>
    <w:rsid w:val="2B5DE213"/>
    <w:rsid w:val="2B6FD14B"/>
    <w:rsid w:val="2C88AE56"/>
    <w:rsid w:val="2C9C6FC2"/>
    <w:rsid w:val="2CE269F4"/>
    <w:rsid w:val="2D363469"/>
    <w:rsid w:val="2D834D01"/>
    <w:rsid w:val="2D9FE48D"/>
    <w:rsid w:val="2F52DA41"/>
    <w:rsid w:val="302A1A11"/>
    <w:rsid w:val="305D0472"/>
    <w:rsid w:val="3066A4F2"/>
    <w:rsid w:val="3070A497"/>
    <w:rsid w:val="3075AC59"/>
    <w:rsid w:val="30BAEDC3"/>
    <w:rsid w:val="31154D6E"/>
    <w:rsid w:val="330F531B"/>
    <w:rsid w:val="340F2611"/>
    <w:rsid w:val="347DC7E9"/>
    <w:rsid w:val="357A2EB7"/>
    <w:rsid w:val="37A821D7"/>
    <w:rsid w:val="387E0FA7"/>
    <w:rsid w:val="39ED1DF4"/>
    <w:rsid w:val="3A766F77"/>
    <w:rsid w:val="3C123FD8"/>
    <w:rsid w:val="3C4D8A63"/>
    <w:rsid w:val="3CA163B7"/>
    <w:rsid w:val="3D24696F"/>
    <w:rsid w:val="3DA93218"/>
    <w:rsid w:val="3EF2E586"/>
    <w:rsid w:val="3FAE3868"/>
    <w:rsid w:val="3FFF5E24"/>
    <w:rsid w:val="40A4C0B3"/>
    <w:rsid w:val="411176C5"/>
    <w:rsid w:val="41BED134"/>
    <w:rsid w:val="41C843AF"/>
    <w:rsid w:val="41EE74FD"/>
    <w:rsid w:val="422A8648"/>
    <w:rsid w:val="434DB5DC"/>
    <w:rsid w:val="43C3AEE4"/>
    <w:rsid w:val="449903B9"/>
    <w:rsid w:val="4525FE7D"/>
    <w:rsid w:val="45612B23"/>
    <w:rsid w:val="462331FB"/>
    <w:rsid w:val="46C6535A"/>
    <w:rsid w:val="46FDF76B"/>
    <w:rsid w:val="476F06D0"/>
    <w:rsid w:val="4899C7CC"/>
    <w:rsid w:val="4A35982D"/>
    <w:rsid w:val="4A800620"/>
    <w:rsid w:val="4AAE588D"/>
    <w:rsid w:val="4ABD351F"/>
    <w:rsid w:val="4B4724E4"/>
    <w:rsid w:val="4B6F25F5"/>
    <w:rsid w:val="4C07818B"/>
    <w:rsid w:val="4CBA77E5"/>
    <w:rsid w:val="4CE07AE5"/>
    <w:rsid w:val="4F2D1525"/>
    <w:rsid w:val="4F9BA137"/>
    <w:rsid w:val="50462CF8"/>
    <w:rsid w:val="505A531C"/>
    <w:rsid w:val="538638FD"/>
    <w:rsid w:val="540C0BB2"/>
    <w:rsid w:val="54520ADB"/>
    <w:rsid w:val="55914857"/>
    <w:rsid w:val="57A82B45"/>
    <w:rsid w:val="58329224"/>
    <w:rsid w:val="5A3B2C5B"/>
    <w:rsid w:val="5D999D94"/>
    <w:rsid w:val="5DA70420"/>
    <w:rsid w:val="5FC46218"/>
    <w:rsid w:val="5FE09F53"/>
    <w:rsid w:val="603A3C13"/>
    <w:rsid w:val="604410DC"/>
    <w:rsid w:val="604FD331"/>
    <w:rsid w:val="60ED8AA3"/>
    <w:rsid w:val="61450DA6"/>
    <w:rsid w:val="6149FE5B"/>
    <w:rsid w:val="614F0D8B"/>
    <w:rsid w:val="61566F55"/>
    <w:rsid w:val="62060A17"/>
    <w:rsid w:val="66C7F1CE"/>
    <w:rsid w:val="66E7D110"/>
    <w:rsid w:val="67AE3E84"/>
    <w:rsid w:val="67E36CDC"/>
    <w:rsid w:val="68A0C659"/>
    <w:rsid w:val="6A66CC7D"/>
    <w:rsid w:val="6B1C1984"/>
    <w:rsid w:val="6B874F25"/>
    <w:rsid w:val="6ED98F78"/>
    <w:rsid w:val="6F3EB8A8"/>
    <w:rsid w:val="6F630306"/>
    <w:rsid w:val="702E12ED"/>
    <w:rsid w:val="713E6913"/>
    <w:rsid w:val="718087B4"/>
    <w:rsid w:val="71A9E245"/>
    <w:rsid w:val="71B07644"/>
    <w:rsid w:val="7204D9BA"/>
    <w:rsid w:val="725D092D"/>
    <w:rsid w:val="72D40ECC"/>
    <w:rsid w:val="73DB9C4C"/>
    <w:rsid w:val="746FDF2D"/>
    <w:rsid w:val="75776CAD"/>
    <w:rsid w:val="75BDF733"/>
    <w:rsid w:val="75FBC53F"/>
    <w:rsid w:val="760BAF8E"/>
    <w:rsid w:val="76D1566F"/>
    <w:rsid w:val="79435050"/>
    <w:rsid w:val="79DBABE6"/>
    <w:rsid w:val="7A3127E7"/>
    <w:rsid w:val="7BEE0DB8"/>
    <w:rsid w:val="7D91CAA3"/>
    <w:rsid w:val="7E6F3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624"/>
  <w15:docId w15:val="{B926306E-093B-4C7B-AC49-A8BBB45A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3D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s://mcas-proxyweb.mcas.ms/certificate-checker?login=false&amp;originalUrl=http%3A%2F%2Fwww.nrel.gov.mcas.ms%2Fc2c%3FMcasTsid%3D20892&amp;McasCSRF=ad3a8f1cf5807f8c1a1a9a9bd9866b88672e78f51cad48cb3e80f2b6c568da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fdc.energy.gov/" TargetMode="External"/><Relationship Id="rId2" Type="http://schemas.openxmlformats.org/officeDocument/2006/relationships/hyperlink" Target="https://www.baaqmd.gov/~/media/files/strategic-incentives/ev-ready/bay-area-pev-readiness-plan-summary-2013-web-pdf.pdf?rev=fd57f275bb4349d6ba853b043cba9372&amp;sc_lang=en" TargetMode="External"/><Relationship Id="rId1" Type="http://schemas.openxmlformats.org/officeDocument/2006/relationships/hyperlink" Target="http://tahoealternativefuels.com/wp-content/uploads/2017/06/Tahoe_Truckee_PlugInPlan_Fin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20205c-0631-4ff0-81c6-46eee12fe7e9" xsi:nil="true"/>
    <lcf76f155ced4ddcb4097134ff3c332f xmlns="b078a8c4-3a19-4d0d-8bf4-ceaf701cb06e">
      <Terms xmlns="http://schemas.microsoft.com/office/infopath/2007/PartnerControls"/>
    </lcf76f155ced4ddcb4097134ff3c332f>
    <SharedWithUsers xmlns="45586b8d-cf79-482f-b8f4-38ad0fd0bb8b">
      <UserInfo>
        <DisplayName/>
        <AccountId xsi:nil="true"/>
        <AccountType/>
      </UserInfo>
    </SharedWithUsers>
    <MediaLengthInSeconds xmlns="b078a8c4-3a19-4d0d-8bf4-ceaf701cb06e" xsi:nil="true"/>
    <ApprovedBy xmlns="b078a8c4-3a19-4d0d-8bf4-ceaf701cb06e">
      <UserInfo>
        <DisplayName/>
        <AccountId xsi:nil="true"/>
        <AccountType/>
      </UserInfo>
    </Approv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789A95C2C144DAEDE9671491BC3D5" ma:contentTypeVersion="16" ma:contentTypeDescription="Create a new document." ma:contentTypeScope="" ma:versionID="378ffacf845a80b193b94f48f68735c1">
  <xsd:schema xmlns:xsd="http://www.w3.org/2001/XMLSchema" xmlns:xs="http://www.w3.org/2001/XMLSchema" xmlns:p="http://schemas.microsoft.com/office/2006/metadata/properties" xmlns:ns2="b078a8c4-3a19-4d0d-8bf4-ceaf701cb06e" xmlns:ns3="45586b8d-cf79-482f-b8f4-38ad0fd0bb8b" xmlns:ns4="0a20205c-0631-4ff0-81c6-46eee12fe7e9" targetNamespace="http://schemas.microsoft.com/office/2006/metadata/properties" ma:root="true" ma:fieldsID="91201c395f5851e3e1c1c0d4e2d34e72" ns2:_="" ns3:_="" ns4:_="">
    <xsd:import namespace="b078a8c4-3a19-4d0d-8bf4-ceaf701cb06e"/>
    <xsd:import namespace="45586b8d-cf79-482f-b8f4-38ad0fd0bb8b"/>
    <xsd:import namespace="0a20205c-0631-4ff0-81c6-46eee12fe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ApprovedB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a8c4-3a19-4d0d-8bf4-ceaf701cb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ApprovedBy" ma:index="22" nillable="true" ma:displayName="Approved By" ma:description="Green lit by reviewer/modifier"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86b8d-cf79-482f-b8f4-38ad0fd0b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db175c-2f1c-433d-aa79-7a9d82748c75}" ma:internalName="TaxCatchAll" ma:showField="CatchAllData" ma:web="45586b8d-cf79-482f-b8f4-38ad0fd0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X35vbMYq8tabe9TuO5/qfybmXg==">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</go:docsCustomData>
</go:gDocsCustomXmlDataStorage>
</file>

<file path=customXml/itemProps1.xml><?xml version="1.0" encoding="utf-8"?>
<ds:datastoreItem xmlns:ds="http://schemas.openxmlformats.org/officeDocument/2006/customXml" ds:itemID="{3E531075-36FF-4CFE-9DE8-F1C0FA80093B}">
  <ds:schemaRefs>
    <ds:schemaRef ds:uri="http://schemas.microsoft.com/office/2006/metadata/properties"/>
    <ds:schemaRef ds:uri="http://schemas.microsoft.com/office/infopath/2007/PartnerControls"/>
    <ds:schemaRef ds:uri="0a20205c-0631-4ff0-81c6-46eee12fe7e9"/>
    <ds:schemaRef ds:uri="b078a8c4-3a19-4d0d-8bf4-ceaf701cb06e"/>
    <ds:schemaRef ds:uri="45586b8d-cf79-482f-b8f4-38ad0fd0bb8b"/>
  </ds:schemaRefs>
</ds:datastoreItem>
</file>

<file path=customXml/itemProps2.xml><?xml version="1.0" encoding="utf-8"?>
<ds:datastoreItem xmlns:ds="http://schemas.openxmlformats.org/officeDocument/2006/customXml" ds:itemID="{AE30B116-2773-486D-B7D1-C49D1019A1F9}">
  <ds:schemaRefs>
    <ds:schemaRef ds:uri="http://schemas.microsoft.com/sharepoint/v3/contenttype/forms"/>
  </ds:schemaRefs>
</ds:datastoreItem>
</file>

<file path=customXml/itemProps3.xml><?xml version="1.0" encoding="utf-8"?>
<ds:datastoreItem xmlns:ds="http://schemas.openxmlformats.org/officeDocument/2006/customXml" ds:itemID="{A12CF3DD-01BE-480C-9B38-E7BC8135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a8c4-3a19-4d0d-8bf4-ceaf701cb06e"/>
    <ds:schemaRef ds:uri="45586b8d-cf79-482f-b8f4-38ad0fd0bb8b"/>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Jeffers, Christin</lastModifiedBy>
  <revision>16</revision>
  <dcterms:created xsi:type="dcterms:W3CDTF">2023-11-21T21:44:00.0000000Z</dcterms:created>
  <dcterms:modified xsi:type="dcterms:W3CDTF">2024-02-19T23:42:59.5369478Z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0x010100338789A95C2C144DAEDE9671491BC3D5</vt:lpwstr>
  </property>
  <property fmtid="{D5CDD505-2E9C-101B-9397-08002B2CF9AE}" pid="3" name="MediaServiceImageTags">
    <vt:lpwstr/>
  </property>
  <property fmtid="{D5CDD505-2E9C-101B-9397-08002B2CF9AE}" pid="4" name="Order">
    <vt:r8>530300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Approved?">
    <vt:bool>true</vt:bool>
  </property>
  <property fmtid="{D5CDD505-2E9C-101B-9397-08002B2CF9AE}" pid="12" name="MSIP_Label_95965d95-ecc0-4720-b759-1f33c42ed7da_Enabled">
    <vt:lpwstr>true</vt:lpwstr>
  </property>
  <property fmtid="{D5CDD505-2E9C-101B-9397-08002B2CF9AE}" pid="13" name="MSIP_Label_95965d95-ecc0-4720-b759-1f33c42ed7da_SetDate">
    <vt:lpwstr>2024-02-15T22:51:44Z</vt:lpwstr>
  </property>
  <property fmtid="{D5CDD505-2E9C-101B-9397-08002B2CF9AE}" pid="14" name="MSIP_Label_95965d95-ecc0-4720-b759-1f33c42ed7da_Method">
    <vt:lpwstr>Standard</vt:lpwstr>
  </property>
  <property fmtid="{D5CDD505-2E9C-101B-9397-08002B2CF9AE}" pid="15" name="MSIP_Label_95965d95-ecc0-4720-b759-1f33c42ed7da_Name">
    <vt:lpwstr>General</vt:lpwstr>
  </property>
  <property fmtid="{D5CDD505-2E9C-101B-9397-08002B2CF9AE}" pid="16" name="MSIP_Label_95965d95-ecc0-4720-b759-1f33c42ed7da_SiteId">
    <vt:lpwstr>a0f29d7e-28cd-4f54-8442-7885aee7c080</vt:lpwstr>
  </property>
  <property fmtid="{D5CDD505-2E9C-101B-9397-08002B2CF9AE}" pid="17" name="MSIP_Label_95965d95-ecc0-4720-b759-1f33c42ed7da_ActionId">
    <vt:lpwstr>4813adce-e179-46e6-9bd4-f878c1429dd6</vt:lpwstr>
  </property>
  <property fmtid="{D5CDD505-2E9C-101B-9397-08002B2CF9AE}" pid="18" name="MSIP_Label_95965d95-ecc0-4720-b759-1f33c42ed7da_ContentBits">
    <vt:lpwstr>0</vt:lpwstr>
  </property>
</Properties>
</file>