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E18F" w14:textId="77777777" w:rsidR="00C8647D" w:rsidRPr="003E0DE0" w:rsidRDefault="00C8647D" w:rsidP="007511CD">
      <w:pPr>
        <w:pStyle w:val="Title"/>
        <w:jc w:val="center"/>
        <w:rPr>
          <w:rFonts w:ascii="Calibri" w:eastAsia="Calibri" w:hAnsi="Calibri" w:cs="Calibri"/>
          <w:sz w:val="32"/>
          <w:szCs w:val="32"/>
          <w:lang w:val="en-US"/>
        </w:rPr>
      </w:pPr>
      <w:bookmarkStart w:id="0" w:name="_heading=h.gjdgxs" w:colFirst="0" w:colLast="0"/>
      <w:bookmarkEnd w:id="0"/>
    </w:p>
    <w:p w14:paraId="79B2E190" w14:textId="77777777" w:rsidR="00C8647D" w:rsidRPr="007511CD" w:rsidRDefault="00810B46" w:rsidP="007511CD">
      <w:pPr>
        <w:pStyle w:val="Title"/>
        <w:jc w:val="center"/>
        <w:rPr>
          <w:rFonts w:ascii="Calibri" w:eastAsia="Calibri" w:hAnsi="Calibri" w:cs="Calibri"/>
          <w:b/>
          <w:sz w:val="28"/>
          <w:szCs w:val="28"/>
          <w:lang w:val="en-US"/>
        </w:rPr>
      </w:pPr>
      <w:bookmarkStart w:id="1" w:name="_heading=h.30j0zll" w:colFirst="0" w:colLast="0"/>
      <w:bookmarkEnd w:id="1"/>
      <w:r w:rsidRPr="007511CD">
        <w:rPr>
          <w:rFonts w:ascii="Calibri" w:eastAsia="Calibri" w:hAnsi="Calibri" w:cs="Calibri"/>
          <w:b/>
          <w:sz w:val="28"/>
          <w:szCs w:val="28"/>
          <w:lang w:val="en-US"/>
        </w:rPr>
        <w:t>Activity: Permitting and Codes Memo Template</w:t>
      </w:r>
    </w:p>
    <w:p w14:paraId="663408BA" w14:textId="77777777" w:rsidR="007511CD" w:rsidRPr="007511CD" w:rsidRDefault="007511CD" w:rsidP="007511CD">
      <w:pPr>
        <w:rPr>
          <w:lang w:val="en-US"/>
        </w:rPr>
      </w:pPr>
    </w:p>
    <w:p w14:paraId="79B2E191" w14:textId="57692B9F" w:rsidR="00C8647D" w:rsidRPr="003E0DE0" w:rsidRDefault="00810B46" w:rsidP="06ED460E">
      <w:pPr>
        <w:rPr>
          <w:rFonts w:ascii="Calibri" w:eastAsia="Calibri" w:hAnsi="Calibri" w:cs="Calibri"/>
          <w:color w:val="FF0000"/>
          <w:lang w:val="en-US"/>
        </w:rPr>
      </w:pPr>
      <w:r w:rsidRPr="003E0DE0">
        <w:rPr>
          <w:rFonts w:ascii="Calibri" w:eastAsia="Calibri" w:hAnsi="Calibri" w:cs="Calibri"/>
          <w:b/>
          <w:bCs/>
          <w:color w:val="FF0000"/>
          <w:lang w:val="en-US"/>
        </w:rPr>
        <w:t xml:space="preserve">Instructions: </w:t>
      </w:r>
      <w:r w:rsidRPr="003E0DE0">
        <w:rPr>
          <w:rFonts w:ascii="Calibri" w:eastAsia="Calibri" w:hAnsi="Calibri" w:cs="Calibri"/>
          <w:color w:val="FF0000"/>
          <w:lang w:val="en-US"/>
        </w:rPr>
        <w:t xml:space="preserve">Please use the below worksheet as a memo template to organize your research and recommendations on opportunities to update municipal codes and streamline permitting for </w:t>
      </w:r>
      <w:r w:rsidR="0094254A">
        <w:rPr>
          <w:rFonts w:ascii="Calibri" w:eastAsia="Calibri" w:hAnsi="Calibri" w:cs="Calibri"/>
          <w:color w:val="FF0000"/>
          <w:lang w:val="en-US"/>
        </w:rPr>
        <w:t>electric vehicle (</w:t>
      </w:r>
      <w:r w:rsidRPr="003E0DE0">
        <w:rPr>
          <w:rFonts w:ascii="Calibri" w:eastAsia="Calibri" w:hAnsi="Calibri" w:cs="Calibri"/>
          <w:color w:val="FF0000"/>
          <w:lang w:val="en-US"/>
        </w:rPr>
        <w:t>EV</w:t>
      </w:r>
      <w:r w:rsidR="0094254A">
        <w:rPr>
          <w:rFonts w:ascii="Calibri" w:eastAsia="Calibri" w:hAnsi="Calibri" w:cs="Calibri"/>
          <w:color w:val="FF0000"/>
          <w:lang w:val="en-US"/>
        </w:rPr>
        <w:t>)</w:t>
      </w:r>
      <w:r w:rsidRPr="003E0DE0">
        <w:rPr>
          <w:rFonts w:ascii="Calibri" w:eastAsia="Calibri" w:hAnsi="Calibri" w:cs="Calibri"/>
          <w:color w:val="FF0000"/>
          <w:lang w:val="en-US"/>
        </w:rPr>
        <w:t xml:space="preserve"> charger deployment. Please take what is useful and modify it to meet local needs and context. Use your responses to the Module 6 guiding questions to populate this template.</w:t>
      </w:r>
    </w:p>
    <w:p w14:paraId="79B2E192" w14:textId="77777777" w:rsidR="00C8647D" w:rsidRPr="00B54869" w:rsidRDefault="00810B46">
      <w:pPr>
        <w:pStyle w:val="Heading2"/>
        <w:rPr>
          <w:color w:val="000000" w:themeColor="text1"/>
          <w:sz w:val="26"/>
          <w:szCs w:val="26"/>
          <w:lang w:val="en-US"/>
        </w:rPr>
      </w:pPr>
      <w:bookmarkStart w:id="2" w:name="_heading=h.1fob9te" w:colFirst="0" w:colLast="0"/>
      <w:bookmarkEnd w:id="2"/>
      <w:r w:rsidRPr="00B54869">
        <w:rPr>
          <w:color w:val="000000" w:themeColor="text1"/>
          <w:sz w:val="26"/>
          <w:szCs w:val="26"/>
          <w:lang w:val="en-US"/>
        </w:rPr>
        <w:t>Introduction</w:t>
      </w:r>
    </w:p>
    <w:p w14:paraId="79B2E193" w14:textId="77777777" w:rsidR="00C8647D" w:rsidRPr="003E0DE0" w:rsidRDefault="00810B46" w:rsidP="06ED460E">
      <w:pPr>
        <w:rPr>
          <w:rFonts w:ascii="Calibri" w:eastAsia="Calibri" w:hAnsi="Calibri" w:cs="Calibri"/>
          <w:color w:val="FF0000"/>
          <w:lang w:val="en-US"/>
        </w:rPr>
      </w:pPr>
      <w:r w:rsidRPr="003E0DE0">
        <w:rPr>
          <w:rFonts w:ascii="Calibri" w:eastAsia="Calibri" w:hAnsi="Calibri" w:cs="Calibri"/>
          <w:color w:val="FF0000"/>
          <w:lang w:val="en-US"/>
        </w:rPr>
        <w:t xml:space="preserve">Create a short introductory paragraph that describes your goals and the scale at which you are working (e.g., providing recommendations for a single jurisdiction or for a region). </w:t>
      </w:r>
    </w:p>
    <w:p w14:paraId="79B2E194" w14:textId="77777777" w:rsidR="00C8647D" w:rsidRPr="003E0DE0" w:rsidRDefault="00C8647D">
      <w:pPr>
        <w:rPr>
          <w:rFonts w:ascii="Calibri" w:eastAsia="Calibri" w:hAnsi="Calibri" w:cs="Calibri"/>
          <w:lang w:val="en-US"/>
        </w:rPr>
      </w:pPr>
    </w:p>
    <w:p w14:paraId="79B2E195" w14:textId="77777777" w:rsidR="00C8647D" w:rsidRPr="003E0DE0" w:rsidRDefault="00810B46">
      <w:pPr>
        <w:rPr>
          <w:rFonts w:ascii="Calibri" w:eastAsia="Calibri" w:hAnsi="Calibri" w:cs="Calibri"/>
          <w:lang w:val="en-US"/>
        </w:rPr>
      </w:pPr>
      <w:r w:rsidRPr="003E0DE0">
        <w:rPr>
          <w:rFonts w:ascii="Calibri" w:eastAsia="Calibri" w:hAnsi="Calibri" w:cs="Calibri"/>
          <w:b/>
          <w:i/>
          <w:color w:val="FF0000"/>
          <w:lang w:val="en-US"/>
        </w:rPr>
        <w:t>Example Text:</w:t>
      </w:r>
      <w:r w:rsidRPr="003E0DE0">
        <w:rPr>
          <w:rFonts w:ascii="Calibri" w:eastAsia="Calibri" w:hAnsi="Calibri" w:cs="Calibri"/>
          <w:i/>
          <w:color w:val="FF0000"/>
          <w:lang w:val="en-US"/>
        </w:rPr>
        <w:t xml:space="preserve"> </w:t>
      </w:r>
      <w:r w:rsidRPr="003E0DE0">
        <w:rPr>
          <w:rFonts w:ascii="Calibri" w:eastAsia="Calibri" w:hAnsi="Calibri" w:cs="Calibri"/>
          <w:i/>
          <w:lang w:val="en-US"/>
        </w:rPr>
        <w:t xml:space="preserve">It is essential to create a supportive regulatory landscape to encourage EV adoption in support of </w:t>
      </w:r>
      <w:r w:rsidRPr="003E0DE0">
        <w:rPr>
          <w:rFonts w:ascii="Calibri" w:eastAsia="Calibri" w:hAnsi="Calibri" w:cs="Calibri"/>
          <w:i/>
          <w:color w:val="FF0000"/>
          <w:lang w:val="en-US"/>
        </w:rPr>
        <w:t xml:space="preserve">climate or other local goals, </w:t>
      </w:r>
      <w:r w:rsidRPr="003E0DE0">
        <w:rPr>
          <w:rFonts w:ascii="Calibri" w:eastAsia="Calibri" w:hAnsi="Calibri" w:cs="Calibri"/>
          <w:i/>
          <w:lang w:val="en-US"/>
        </w:rPr>
        <w:t>as well as support the growing demand for EVs and EV charging infrastructure.</w:t>
      </w:r>
      <w:r w:rsidRPr="003E0DE0">
        <w:rPr>
          <w:rFonts w:ascii="Calibri" w:eastAsia="Calibri" w:hAnsi="Calibri" w:cs="Calibri"/>
          <w:lang w:val="en-US"/>
        </w:rPr>
        <w:t xml:space="preserve"> </w:t>
      </w:r>
      <w:r w:rsidRPr="003E0DE0">
        <w:rPr>
          <w:rFonts w:ascii="Calibri" w:eastAsia="Calibri" w:hAnsi="Calibri" w:cs="Calibri"/>
          <w:i/>
          <w:lang w:val="en-US"/>
        </w:rPr>
        <w:t>Confusing and complex municipal codes (e.g., zoning, building, and parking codes) and associated permitting processes are common barriers to EV charger deployment. To address these issues, local governments and regional partners can standardize and update code language to reflect current best practices and streamline and clarify permitting processes.</w:t>
      </w:r>
    </w:p>
    <w:p w14:paraId="79B2E196" w14:textId="77777777" w:rsidR="00C8647D" w:rsidRPr="003E0DE0" w:rsidRDefault="00C8647D">
      <w:pPr>
        <w:rPr>
          <w:rFonts w:ascii="Calibri" w:eastAsia="Calibri" w:hAnsi="Calibri" w:cs="Calibri"/>
          <w:lang w:val="en-US"/>
        </w:rPr>
      </w:pPr>
    </w:p>
    <w:p w14:paraId="79B2E197" w14:textId="77777777" w:rsidR="00C8647D" w:rsidRPr="003E0DE0" w:rsidRDefault="00810B46">
      <w:pPr>
        <w:rPr>
          <w:color w:val="434343"/>
          <w:sz w:val="26"/>
          <w:szCs w:val="26"/>
          <w:lang w:val="en-US"/>
        </w:rPr>
      </w:pPr>
      <w:r w:rsidRPr="003E0DE0">
        <w:rPr>
          <w:rFonts w:ascii="Calibri" w:eastAsia="Calibri" w:hAnsi="Calibri" w:cs="Calibri"/>
          <w:b/>
          <w:i/>
          <w:color w:val="FF0000"/>
          <w:lang w:val="en-US"/>
        </w:rPr>
        <w:t xml:space="preserve">Template Text: </w:t>
      </w:r>
      <w:r w:rsidRPr="003E0DE0">
        <w:rPr>
          <w:rFonts w:ascii="Calibri" w:eastAsia="Calibri" w:hAnsi="Calibri" w:cs="Calibri"/>
          <w:color w:val="FF0000"/>
          <w:lang w:val="en-US"/>
        </w:rPr>
        <w:t>[Your entity’s name]</w:t>
      </w:r>
      <w:r w:rsidRPr="003E0DE0">
        <w:rPr>
          <w:rFonts w:ascii="Calibri" w:eastAsia="Calibri" w:hAnsi="Calibri" w:cs="Calibri"/>
          <w:lang w:val="en-US"/>
        </w:rPr>
        <w:t xml:space="preserve"> conducted a review of current best practices in </w:t>
      </w:r>
      <w:r w:rsidRPr="003E0DE0">
        <w:rPr>
          <w:rFonts w:ascii="Calibri" w:eastAsia="Calibri" w:hAnsi="Calibri" w:cs="Calibri"/>
          <w:color w:val="FF0000"/>
          <w:lang w:val="en-US"/>
        </w:rPr>
        <w:t>Month and Year</w:t>
      </w:r>
      <w:r w:rsidRPr="003E0DE0">
        <w:rPr>
          <w:rFonts w:ascii="Calibri" w:eastAsia="Calibri" w:hAnsi="Calibri" w:cs="Calibri"/>
          <w:lang w:val="en-US"/>
        </w:rPr>
        <w:t xml:space="preserve"> and recommends the below actions.</w:t>
      </w:r>
    </w:p>
    <w:p w14:paraId="79B2E198" w14:textId="2C44B2E1" w:rsidR="00C8647D" w:rsidRPr="00B54869" w:rsidRDefault="00810B46">
      <w:pPr>
        <w:pStyle w:val="Heading2"/>
        <w:rPr>
          <w:color w:val="000000" w:themeColor="text1"/>
          <w:sz w:val="26"/>
          <w:szCs w:val="26"/>
          <w:lang w:val="en-US"/>
        </w:rPr>
      </w:pPr>
      <w:bookmarkStart w:id="3" w:name="_heading=h.3znysh7" w:colFirst="0" w:colLast="0"/>
      <w:bookmarkEnd w:id="3"/>
      <w:r w:rsidRPr="00B54869">
        <w:rPr>
          <w:color w:val="000000" w:themeColor="text1"/>
          <w:sz w:val="26"/>
          <w:szCs w:val="26"/>
          <w:lang w:val="en-US"/>
        </w:rPr>
        <w:t>Top</w:t>
      </w:r>
      <w:r w:rsidR="007A05FC" w:rsidRPr="00B54869">
        <w:rPr>
          <w:color w:val="000000" w:themeColor="text1"/>
          <w:sz w:val="26"/>
          <w:szCs w:val="26"/>
          <w:lang w:val="en-US"/>
        </w:rPr>
        <w:t>-L</w:t>
      </w:r>
      <w:r w:rsidRPr="00B54869">
        <w:rPr>
          <w:color w:val="000000" w:themeColor="text1"/>
          <w:sz w:val="26"/>
          <w:szCs w:val="26"/>
          <w:lang w:val="en-US"/>
        </w:rPr>
        <w:t>ine Recommendations</w:t>
      </w:r>
    </w:p>
    <w:p w14:paraId="79B2E199" w14:textId="77777777" w:rsidR="00C8647D" w:rsidRPr="003E0DE0" w:rsidRDefault="00810B46" w:rsidP="06ED460E">
      <w:pPr>
        <w:rPr>
          <w:rFonts w:ascii="Calibri" w:eastAsia="Calibri" w:hAnsi="Calibri" w:cs="Calibri"/>
          <w:color w:val="FF0000"/>
          <w:lang w:val="en-US"/>
        </w:rPr>
      </w:pPr>
      <w:r w:rsidRPr="003E0DE0">
        <w:rPr>
          <w:rFonts w:ascii="Calibri" w:eastAsia="Calibri" w:hAnsi="Calibri" w:cs="Calibri"/>
          <w:color w:val="FF0000"/>
          <w:lang w:val="en-US"/>
        </w:rPr>
        <w:t>Create a short list of top recommended actions. Note: Start with the “Research on Best Practices” section to identify what to list here.</w:t>
      </w:r>
    </w:p>
    <w:p w14:paraId="79B2E19A" w14:textId="77777777" w:rsidR="00C8647D" w:rsidRPr="003E0DE0" w:rsidRDefault="00C8647D">
      <w:pPr>
        <w:rPr>
          <w:rFonts w:ascii="Calibri" w:eastAsia="Calibri" w:hAnsi="Calibri" w:cs="Calibri"/>
          <w:i/>
          <w:lang w:val="en-US"/>
        </w:rPr>
      </w:pPr>
    </w:p>
    <w:p w14:paraId="79B2E19B" w14:textId="77777777" w:rsidR="00C8647D" w:rsidRPr="003E0DE0" w:rsidRDefault="00810B46" w:rsidP="06ED460E">
      <w:pPr>
        <w:rPr>
          <w:rFonts w:ascii="Calibri" w:eastAsia="Calibri" w:hAnsi="Calibri" w:cs="Calibri"/>
          <w:i/>
          <w:iCs/>
          <w:color w:val="FF0000"/>
          <w:lang w:val="en-US"/>
        </w:rPr>
      </w:pPr>
      <w:r w:rsidRPr="003E0DE0">
        <w:rPr>
          <w:rFonts w:ascii="Calibri" w:eastAsia="Calibri" w:hAnsi="Calibri" w:cs="Calibri"/>
          <w:b/>
          <w:bCs/>
          <w:i/>
          <w:iCs/>
          <w:color w:val="FF0000"/>
          <w:lang w:val="en-US"/>
        </w:rPr>
        <w:t>Template Text:</w:t>
      </w:r>
      <w:r w:rsidRPr="003E0DE0">
        <w:rPr>
          <w:rFonts w:ascii="Calibri" w:eastAsia="Calibri" w:hAnsi="Calibri" w:cs="Calibri"/>
          <w:i/>
          <w:iCs/>
          <w:lang w:val="en-US"/>
        </w:rPr>
        <w:t xml:space="preserve"> In order to streamline and accelerate EV charger deployment, </w:t>
      </w:r>
      <w:r w:rsidRPr="003E0DE0">
        <w:rPr>
          <w:rFonts w:ascii="Calibri" w:eastAsia="Calibri" w:hAnsi="Calibri" w:cs="Calibri"/>
          <w:i/>
          <w:iCs/>
          <w:color w:val="FF0000"/>
          <w:lang w:val="en-US"/>
        </w:rPr>
        <w:t xml:space="preserve">[name of your entity] </w:t>
      </w:r>
      <w:r w:rsidRPr="003E0DE0">
        <w:rPr>
          <w:rFonts w:ascii="Calibri" w:eastAsia="Calibri" w:hAnsi="Calibri" w:cs="Calibri"/>
          <w:i/>
          <w:iCs/>
          <w:lang w:val="en-US"/>
        </w:rPr>
        <w:t>recommends the following actions:</w:t>
      </w:r>
    </w:p>
    <w:p w14:paraId="79B2E19C" w14:textId="5C989D67" w:rsidR="00C8647D" w:rsidRPr="003E0DE0" w:rsidRDefault="00810B46">
      <w:pPr>
        <w:numPr>
          <w:ilvl w:val="0"/>
          <w:numId w:val="3"/>
        </w:numPr>
        <w:rPr>
          <w:rFonts w:ascii="Calibri" w:eastAsia="Calibri" w:hAnsi="Calibri" w:cs="Calibri"/>
          <w:i/>
          <w:color w:val="FF0000"/>
          <w:lang w:val="en-US"/>
        </w:rPr>
      </w:pPr>
      <w:r w:rsidRPr="003E0DE0">
        <w:rPr>
          <w:rFonts w:ascii="Calibri" w:eastAsia="Calibri" w:hAnsi="Calibri" w:cs="Calibri"/>
          <w:b/>
          <w:i/>
          <w:color w:val="FF0000"/>
          <w:lang w:val="en-US"/>
        </w:rPr>
        <w:t>Ex:</w:t>
      </w:r>
      <w:r w:rsidRPr="003E0DE0">
        <w:rPr>
          <w:rFonts w:ascii="Calibri" w:eastAsia="Calibri" w:hAnsi="Calibri" w:cs="Calibri"/>
          <w:i/>
          <w:color w:val="FF0000"/>
          <w:lang w:val="en-US"/>
        </w:rPr>
        <w:t xml:space="preserve"> Pass an EV-readiness building code for new buildings</w:t>
      </w:r>
      <w:r w:rsidR="00557C46">
        <w:rPr>
          <w:rFonts w:ascii="Calibri" w:eastAsia="Calibri" w:hAnsi="Calibri" w:cs="Calibri"/>
          <w:i/>
          <w:color w:val="FF0000"/>
          <w:lang w:val="en-US"/>
        </w:rPr>
        <w:t>.</w:t>
      </w:r>
    </w:p>
    <w:p w14:paraId="79B2E19D" w14:textId="576A4F46" w:rsidR="00C8647D" w:rsidRPr="003E0DE0" w:rsidRDefault="00810B46">
      <w:pPr>
        <w:numPr>
          <w:ilvl w:val="0"/>
          <w:numId w:val="3"/>
        </w:numPr>
        <w:rPr>
          <w:rFonts w:ascii="Calibri" w:eastAsia="Calibri" w:hAnsi="Calibri" w:cs="Calibri"/>
          <w:i/>
          <w:color w:val="FF0000"/>
          <w:lang w:val="en-US"/>
        </w:rPr>
      </w:pPr>
      <w:r w:rsidRPr="003E0DE0">
        <w:rPr>
          <w:rFonts w:ascii="Calibri" w:eastAsia="Calibri" w:hAnsi="Calibri" w:cs="Calibri"/>
          <w:b/>
          <w:i/>
          <w:color w:val="FF0000"/>
          <w:lang w:val="en-US"/>
        </w:rPr>
        <w:t>Ex:</w:t>
      </w:r>
      <w:r w:rsidRPr="003E0DE0">
        <w:rPr>
          <w:rFonts w:ascii="Calibri" w:eastAsia="Calibri" w:hAnsi="Calibri" w:cs="Calibri"/>
          <w:i/>
          <w:color w:val="FF0000"/>
          <w:lang w:val="en-US"/>
        </w:rPr>
        <w:t xml:space="preserve"> Allow EV charging to count toward minimum parking requirements</w:t>
      </w:r>
      <w:r w:rsidR="00557C46">
        <w:rPr>
          <w:rFonts w:ascii="Calibri" w:eastAsia="Calibri" w:hAnsi="Calibri" w:cs="Calibri"/>
          <w:i/>
          <w:color w:val="FF0000"/>
          <w:lang w:val="en-US"/>
        </w:rPr>
        <w:t>.</w:t>
      </w:r>
    </w:p>
    <w:p w14:paraId="79B2E19E" w14:textId="38682CB7" w:rsidR="00C8647D" w:rsidRPr="003E0DE0" w:rsidRDefault="00810B46">
      <w:pPr>
        <w:numPr>
          <w:ilvl w:val="0"/>
          <w:numId w:val="3"/>
        </w:numPr>
        <w:rPr>
          <w:rFonts w:ascii="Calibri" w:eastAsia="Calibri" w:hAnsi="Calibri" w:cs="Calibri"/>
          <w:i/>
          <w:color w:val="FF0000"/>
          <w:lang w:val="en-US"/>
        </w:rPr>
      </w:pPr>
      <w:r w:rsidRPr="003E0DE0">
        <w:rPr>
          <w:rFonts w:ascii="Calibri" w:eastAsia="Calibri" w:hAnsi="Calibri" w:cs="Calibri"/>
          <w:b/>
          <w:i/>
          <w:color w:val="FF0000"/>
          <w:lang w:val="en-US"/>
        </w:rPr>
        <w:t>Ex:</w:t>
      </w:r>
      <w:r w:rsidRPr="003E0DE0">
        <w:rPr>
          <w:rFonts w:ascii="Calibri" w:eastAsia="Calibri" w:hAnsi="Calibri" w:cs="Calibri"/>
          <w:i/>
          <w:color w:val="FF0000"/>
          <w:lang w:val="en-US"/>
        </w:rPr>
        <w:t xml:space="preserve"> Update parking codes to enable enforcement mechanism</w:t>
      </w:r>
      <w:r w:rsidR="00520A78">
        <w:rPr>
          <w:rFonts w:ascii="Calibri" w:eastAsia="Calibri" w:hAnsi="Calibri" w:cs="Calibri"/>
          <w:i/>
          <w:color w:val="FF0000"/>
          <w:lang w:val="en-US"/>
        </w:rPr>
        <w:t>s.</w:t>
      </w:r>
    </w:p>
    <w:p w14:paraId="79B2E19F" w14:textId="77777777" w:rsidR="00C8647D" w:rsidRPr="00B54869" w:rsidRDefault="00810B46">
      <w:pPr>
        <w:pStyle w:val="Heading2"/>
        <w:rPr>
          <w:color w:val="000000" w:themeColor="text1"/>
          <w:sz w:val="26"/>
          <w:szCs w:val="26"/>
          <w:lang w:val="en-US"/>
        </w:rPr>
      </w:pPr>
      <w:bookmarkStart w:id="4" w:name="_heading=h.2et92p0" w:colFirst="0" w:colLast="0"/>
      <w:bookmarkEnd w:id="4"/>
      <w:r w:rsidRPr="00B54869">
        <w:rPr>
          <w:color w:val="000000" w:themeColor="text1"/>
          <w:sz w:val="26"/>
          <w:szCs w:val="26"/>
          <w:lang w:val="en-US"/>
        </w:rPr>
        <w:t>Research on Best Practices</w:t>
      </w:r>
    </w:p>
    <w:p w14:paraId="79B2E1A0" w14:textId="77777777" w:rsidR="00C8647D" w:rsidRPr="003E0DE0" w:rsidRDefault="00810B46">
      <w:pPr>
        <w:rPr>
          <w:rFonts w:ascii="Calibri" w:eastAsia="Calibri" w:hAnsi="Calibri" w:cs="Calibri"/>
          <w:color w:val="FF0000"/>
          <w:lang w:val="en-US"/>
        </w:rPr>
      </w:pPr>
      <w:r w:rsidRPr="003E0DE0">
        <w:rPr>
          <w:rFonts w:ascii="Calibri" w:eastAsia="Calibri" w:hAnsi="Calibri" w:cs="Calibri"/>
          <w:color w:val="FF0000"/>
          <w:lang w:val="en-US"/>
        </w:rPr>
        <w:t>Fill out the sections below to provide an overview of best practices and updates that the municipality could consider undertaking. Indicate if any of these practices are already in place and add relevant context on local authority and feasibility.</w:t>
      </w:r>
    </w:p>
    <w:p w14:paraId="79B2E1A1" w14:textId="77777777" w:rsidR="00C8647D" w:rsidRPr="003E0DE0" w:rsidRDefault="00C8647D">
      <w:pPr>
        <w:rPr>
          <w:rFonts w:ascii="Calibri" w:eastAsia="Calibri" w:hAnsi="Calibri" w:cs="Calibri"/>
          <w:lang w:val="en-US"/>
        </w:rPr>
      </w:pPr>
    </w:p>
    <w:p w14:paraId="79B2E1A2" w14:textId="77777777" w:rsidR="00C8647D" w:rsidRPr="00B54869" w:rsidRDefault="00810B46">
      <w:pPr>
        <w:pStyle w:val="Heading4"/>
        <w:spacing w:after="200"/>
        <w:rPr>
          <w:color w:val="000000" w:themeColor="text1"/>
          <w:lang w:val="en-US"/>
        </w:rPr>
      </w:pPr>
      <w:bookmarkStart w:id="5" w:name="_heading=h.tyjcwt" w:colFirst="0" w:colLast="0"/>
      <w:bookmarkEnd w:id="5"/>
      <w:r w:rsidRPr="00B54869">
        <w:rPr>
          <w:color w:val="000000" w:themeColor="text1"/>
          <w:lang w:val="en-US"/>
        </w:rPr>
        <w:lastRenderedPageBreak/>
        <w:t>BUILDING CODES</w:t>
      </w:r>
    </w:p>
    <w:p w14:paraId="79B2E1A3" w14:textId="628F362E" w:rsidR="00C8647D" w:rsidRPr="003E0DE0" w:rsidRDefault="00810B46" w:rsidP="06ED460E">
      <w:pPr>
        <w:spacing w:after="200"/>
        <w:rPr>
          <w:rFonts w:ascii="Calibri" w:eastAsia="Calibri" w:hAnsi="Calibri" w:cs="Calibri"/>
          <w:color w:val="FF0000"/>
          <w:lang w:val="en-US"/>
        </w:rPr>
      </w:pPr>
      <w:r w:rsidRPr="003E0DE0">
        <w:rPr>
          <w:rFonts w:ascii="Calibri" w:eastAsia="Calibri" w:hAnsi="Calibri" w:cs="Calibri"/>
          <w:color w:val="FF0000"/>
          <w:lang w:val="en-US"/>
        </w:rPr>
        <w:t>Add additional context on building code best practices that would be relevant for the municipality. It may be helpful to provide case studies and examples from within the state or from other peers, as well as information about responsible departments or individuals, feasibility, local advocates and potential partners, alignment with other planned building code updates or discussions, and challenges or potential roadblocks.</w:t>
      </w:r>
    </w:p>
    <w:p w14:paraId="79B2E1A4" w14:textId="77777777" w:rsidR="00C8647D" w:rsidRPr="003E0DE0" w:rsidRDefault="00C8647D">
      <w:pPr>
        <w:rPr>
          <w:rFonts w:ascii="Calibri" w:eastAsia="Calibri" w:hAnsi="Calibri" w:cs="Calibri"/>
          <w:lang w:val="en-US"/>
        </w:rPr>
      </w:pPr>
    </w:p>
    <w:p w14:paraId="79B2E1A5" w14:textId="77777777" w:rsidR="00C8647D" w:rsidRPr="003E0DE0" w:rsidRDefault="00C8647D">
      <w:pPr>
        <w:numPr>
          <w:ilvl w:val="0"/>
          <w:numId w:val="2"/>
        </w:numPr>
        <w:rPr>
          <w:rFonts w:ascii="Calibri" w:eastAsia="Calibri" w:hAnsi="Calibri" w:cs="Calibri"/>
          <w:lang w:val="en-US"/>
        </w:rPr>
      </w:pPr>
    </w:p>
    <w:p w14:paraId="79B2E1A6" w14:textId="77777777" w:rsidR="00C8647D" w:rsidRPr="00B54869" w:rsidRDefault="00810B46">
      <w:pPr>
        <w:pStyle w:val="Heading4"/>
        <w:rPr>
          <w:color w:val="000000" w:themeColor="text1"/>
          <w:lang w:val="en-US"/>
        </w:rPr>
      </w:pPr>
      <w:bookmarkStart w:id="6" w:name="_heading=h.3dy6vkm" w:colFirst="0" w:colLast="0"/>
      <w:bookmarkEnd w:id="6"/>
      <w:r w:rsidRPr="00B54869">
        <w:rPr>
          <w:color w:val="000000" w:themeColor="text1"/>
          <w:lang w:val="en-US"/>
        </w:rPr>
        <w:t>ZONING ORDINANCES</w:t>
      </w:r>
    </w:p>
    <w:p w14:paraId="79B2E1A7" w14:textId="77777777" w:rsidR="00C8647D" w:rsidRPr="003E0DE0" w:rsidRDefault="00810B46" w:rsidP="06ED460E">
      <w:pPr>
        <w:pBdr>
          <w:top w:val="none" w:sz="0" w:space="0" w:color="D9D9E3"/>
          <w:left w:val="none" w:sz="0" w:space="0" w:color="D9D9E3"/>
          <w:bottom w:val="none" w:sz="0" w:space="0" w:color="D9D9E3"/>
          <w:right w:val="none" w:sz="0" w:space="0" w:color="D9D9E3"/>
          <w:between w:val="none" w:sz="0" w:space="0" w:color="D9D9E3"/>
        </w:pBdr>
        <w:spacing w:before="300"/>
        <w:rPr>
          <w:rFonts w:ascii="Calibri" w:eastAsia="Calibri" w:hAnsi="Calibri" w:cs="Calibri"/>
          <w:color w:val="FF0000"/>
          <w:lang w:val="en-US"/>
        </w:rPr>
      </w:pPr>
      <w:r w:rsidRPr="003E0DE0">
        <w:rPr>
          <w:rFonts w:ascii="Calibri" w:eastAsia="Calibri" w:hAnsi="Calibri" w:cs="Calibri"/>
          <w:color w:val="FF0000"/>
          <w:lang w:val="en-US"/>
        </w:rPr>
        <w:t>Add additional context on zoning ordinance best practices that would be relevant for the municipality. It may be helpful to provide case studies and examples from within the state or from other peers, as well as information about responsible departments or individuals, feasibility, local advocates and potential partners, and challenges or potential roadblocks.</w:t>
      </w:r>
    </w:p>
    <w:p w14:paraId="79B2E1A8" w14:textId="77777777" w:rsidR="00C8647D" w:rsidRPr="003E0DE0" w:rsidRDefault="00C8647D">
      <w:pPr>
        <w:rPr>
          <w:rFonts w:ascii="Calibri" w:eastAsia="Calibri" w:hAnsi="Calibri" w:cs="Calibri"/>
          <w:lang w:val="en-US"/>
        </w:rPr>
      </w:pPr>
    </w:p>
    <w:p w14:paraId="79B2E1A9" w14:textId="77777777" w:rsidR="00C8647D" w:rsidRPr="003E0DE0" w:rsidRDefault="00C8647D">
      <w:pPr>
        <w:numPr>
          <w:ilvl w:val="0"/>
          <w:numId w:val="2"/>
        </w:numPr>
        <w:rPr>
          <w:rFonts w:ascii="Calibri" w:eastAsia="Calibri" w:hAnsi="Calibri" w:cs="Calibri"/>
          <w:lang w:val="en-US"/>
        </w:rPr>
      </w:pPr>
    </w:p>
    <w:p w14:paraId="79B2E1AA" w14:textId="77777777" w:rsidR="00C8647D" w:rsidRPr="00B54869" w:rsidRDefault="00810B46">
      <w:pPr>
        <w:pStyle w:val="Heading4"/>
        <w:spacing w:after="200"/>
        <w:rPr>
          <w:color w:val="000000" w:themeColor="text1"/>
          <w:lang w:val="en-US"/>
        </w:rPr>
      </w:pPr>
      <w:bookmarkStart w:id="7" w:name="_heading=h.1t3h5sf" w:colFirst="0" w:colLast="0"/>
      <w:bookmarkEnd w:id="7"/>
      <w:r w:rsidRPr="00B54869">
        <w:rPr>
          <w:color w:val="000000" w:themeColor="text1"/>
          <w:lang w:val="en-US"/>
        </w:rPr>
        <w:t>PARKING ORDINANCES</w:t>
      </w:r>
    </w:p>
    <w:p w14:paraId="79B2E1AB" w14:textId="77777777" w:rsidR="00C8647D" w:rsidRPr="003E0DE0" w:rsidRDefault="00810B46" w:rsidP="06ED460E">
      <w:pPr>
        <w:spacing w:after="200"/>
        <w:rPr>
          <w:rFonts w:ascii="Calibri" w:eastAsia="Calibri" w:hAnsi="Calibri" w:cs="Calibri"/>
          <w:color w:val="FF0000"/>
          <w:lang w:val="en-US"/>
        </w:rPr>
        <w:sectPr w:rsidR="00C8647D" w:rsidRPr="003E0DE0">
          <w:footerReference w:type="default" r:id="rId11"/>
          <w:footerReference w:type="first" r:id="rId12"/>
          <w:pgSz w:w="12240" w:h="15840"/>
          <w:pgMar w:top="1440" w:right="1440" w:bottom="1440" w:left="1440" w:header="720" w:footer="720" w:gutter="0"/>
          <w:pgNumType w:start="1"/>
          <w:cols w:space="720"/>
          <w:titlePg/>
        </w:sectPr>
      </w:pPr>
      <w:r w:rsidRPr="003E0DE0">
        <w:rPr>
          <w:rFonts w:ascii="Calibri" w:eastAsia="Calibri" w:hAnsi="Calibri" w:cs="Calibri"/>
          <w:color w:val="FF0000"/>
          <w:lang w:val="en-US"/>
        </w:rPr>
        <w:t>Add additional context on parking ordinance best practices that would be relevant for the municipality. It may be helpful to provide case studies and examples from within the state or from other peers, as well as information about responsible departments or individuals, feasibility, local advocates and potential partners, and challenges or potential roadblocks.</w:t>
      </w:r>
    </w:p>
    <w:p w14:paraId="79B2E1AC" w14:textId="77777777" w:rsidR="00C8647D" w:rsidRPr="003E0DE0" w:rsidRDefault="00C8647D">
      <w:pPr>
        <w:numPr>
          <w:ilvl w:val="0"/>
          <w:numId w:val="1"/>
        </w:numPr>
        <w:rPr>
          <w:rFonts w:ascii="Calibri" w:eastAsia="Calibri" w:hAnsi="Calibri" w:cs="Calibri"/>
          <w:lang w:val="en-US"/>
        </w:rPr>
      </w:pPr>
    </w:p>
    <w:p w14:paraId="79B2E1AD" w14:textId="77777777" w:rsidR="00C8647D" w:rsidRPr="00B54869" w:rsidRDefault="00810B46">
      <w:pPr>
        <w:pStyle w:val="Heading4"/>
        <w:rPr>
          <w:i/>
          <w:color w:val="000000" w:themeColor="text1"/>
          <w:lang w:val="en-US"/>
        </w:rPr>
      </w:pPr>
      <w:bookmarkStart w:id="8" w:name="_heading=h.4d34og8" w:colFirst="0" w:colLast="0"/>
      <w:bookmarkEnd w:id="8"/>
      <w:r w:rsidRPr="00B54869">
        <w:rPr>
          <w:color w:val="000000" w:themeColor="text1"/>
          <w:lang w:val="en-US"/>
        </w:rPr>
        <w:t>PERMITTING</w:t>
      </w:r>
    </w:p>
    <w:p w14:paraId="79B2E1AE" w14:textId="77777777" w:rsidR="00C8647D" w:rsidRPr="003E0DE0" w:rsidRDefault="00810B46" w:rsidP="06ED460E">
      <w:pPr>
        <w:pBdr>
          <w:top w:val="none" w:sz="0" w:space="0" w:color="D9D9E3"/>
          <w:left w:val="none" w:sz="0" w:space="0" w:color="D9D9E3"/>
          <w:bottom w:val="none" w:sz="0" w:space="0" w:color="D9D9E3"/>
          <w:right w:val="none" w:sz="0" w:space="0" w:color="D9D9E3"/>
          <w:between w:val="none" w:sz="0" w:space="0" w:color="D9D9E3"/>
        </w:pBdr>
        <w:spacing w:before="300"/>
        <w:rPr>
          <w:rFonts w:ascii="Calibri" w:eastAsia="Calibri" w:hAnsi="Calibri" w:cs="Calibri"/>
          <w:color w:val="FF0000"/>
          <w:lang w:val="en-US"/>
        </w:rPr>
      </w:pPr>
      <w:r w:rsidRPr="003E0DE0">
        <w:rPr>
          <w:rFonts w:ascii="Calibri" w:eastAsia="Calibri" w:hAnsi="Calibri" w:cs="Calibri"/>
          <w:color w:val="FF0000"/>
          <w:lang w:val="en-US"/>
        </w:rPr>
        <w:t>Add additional context on EV infrastructure permitting best practices that would be relevant for the municipality. It may be helpful to provide case studies and examples from within the state or from other peers, as well as information about responsible departments or individuals, feasibility, local advocates and potential partners, and challenges or potential roadblocks.</w:t>
      </w:r>
    </w:p>
    <w:p w14:paraId="79B2E1AF" w14:textId="77777777" w:rsidR="00C8647D" w:rsidRPr="003E0DE0" w:rsidRDefault="00C8647D">
      <w:pPr>
        <w:rPr>
          <w:rFonts w:ascii="Calibri" w:eastAsia="Calibri" w:hAnsi="Calibri" w:cs="Calibri"/>
          <w:lang w:val="en-US"/>
        </w:rPr>
      </w:pPr>
    </w:p>
    <w:p w14:paraId="79B2E1B0" w14:textId="77777777" w:rsidR="00C8647D" w:rsidRPr="003E0DE0" w:rsidRDefault="00C8647D">
      <w:pPr>
        <w:numPr>
          <w:ilvl w:val="0"/>
          <w:numId w:val="2"/>
        </w:numPr>
        <w:rPr>
          <w:rFonts w:ascii="Calibri" w:eastAsia="Calibri" w:hAnsi="Calibri" w:cs="Calibri"/>
          <w:lang w:val="en-US"/>
        </w:rPr>
      </w:pPr>
    </w:p>
    <w:p w14:paraId="79B2E1B1" w14:textId="77777777" w:rsidR="00C8647D" w:rsidRPr="003E0DE0" w:rsidRDefault="00C8647D">
      <w:pPr>
        <w:rPr>
          <w:rFonts w:ascii="Calibri" w:eastAsia="Calibri" w:hAnsi="Calibri" w:cs="Calibri"/>
          <w:lang w:val="en-US"/>
        </w:rPr>
      </w:pPr>
    </w:p>
    <w:sectPr w:rsidR="00C8647D" w:rsidRPr="003E0D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D70D" w14:textId="77777777" w:rsidR="00F16D89" w:rsidRDefault="00F16D89">
      <w:pPr>
        <w:spacing w:line="240" w:lineRule="auto"/>
      </w:pPr>
      <w:r>
        <w:separator/>
      </w:r>
    </w:p>
  </w:endnote>
  <w:endnote w:type="continuationSeparator" w:id="0">
    <w:p w14:paraId="02488F3C" w14:textId="77777777" w:rsidR="00F16D89" w:rsidRDefault="00F16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E1B7" w14:textId="0C2187AB" w:rsidR="00C8647D" w:rsidRDefault="00810B46">
    <w:pPr>
      <w:jc w:val="right"/>
      <w:rPr>
        <w:rFonts w:ascii="Calibri" w:eastAsia="Calibri" w:hAnsi="Calibri" w:cs="Calibri"/>
        <w:sz w:val="20"/>
        <w:szCs w:val="20"/>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3E0DE0">
      <w:rPr>
        <w:rFonts w:ascii="Calibri" w:eastAsia="Calibri" w:hAnsi="Calibri" w:cs="Calibri"/>
        <w:noProof/>
      </w:rPr>
      <w:t>2</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6AB3" w14:textId="77777777" w:rsidR="00B01A4B" w:rsidRPr="00581C2B" w:rsidRDefault="00B01A4B" w:rsidP="00B01A4B">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u w:val="single"/>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79B2E1B9" w14:textId="095C939F" w:rsidR="00C8647D" w:rsidRDefault="00810B46">
    <w:pPr>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3E0DE0">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C8604" w14:textId="77777777" w:rsidR="00F16D89" w:rsidRDefault="00F16D89">
      <w:pPr>
        <w:spacing w:line="240" w:lineRule="auto"/>
      </w:pPr>
      <w:r>
        <w:separator/>
      </w:r>
    </w:p>
  </w:footnote>
  <w:footnote w:type="continuationSeparator" w:id="0">
    <w:p w14:paraId="22146B68" w14:textId="77777777" w:rsidR="00F16D89" w:rsidRDefault="00F16D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64F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AB722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0D54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3323948">
    <w:abstractNumId w:val="1"/>
  </w:num>
  <w:num w:numId="2" w16cid:durableId="197281729">
    <w:abstractNumId w:val="2"/>
  </w:num>
  <w:num w:numId="3" w16cid:durableId="132497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7D"/>
    <w:rsid w:val="00054752"/>
    <w:rsid w:val="003E0DE0"/>
    <w:rsid w:val="004A30A4"/>
    <w:rsid w:val="00520A78"/>
    <w:rsid w:val="00557C46"/>
    <w:rsid w:val="007511CD"/>
    <w:rsid w:val="007A05FC"/>
    <w:rsid w:val="00810B46"/>
    <w:rsid w:val="0094254A"/>
    <w:rsid w:val="00B01A4B"/>
    <w:rsid w:val="00B54869"/>
    <w:rsid w:val="00B83227"/>
    <w:rsid w:val="00BA63A0"/>
    <w:rsid w:val="00C8647D"/>
    <w:rsid w:val="00DA17BA"/>
    <w:rsid w:val="00DC57F0"/>
    <w:rsid w:val="00F16D89"/>
    <w:rsid w:val="06ED4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E18F"/>
  <w15:docId w15:val="{368119BD-C438-4786-8503-2CA01348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8"/>
      <w:szCs w:val="28"/>
    </w:rPr>
  </w:style>
  <w:style w:type="paragraph" w:styleId="Heading3">
    <w:name w:val="heading 3"/>
    <w:basedOn w:val="Normal"/>
    <w:next w:val="Normal"/>
    <w:uiPriority w:val="9"/>
    <w:unhideWhenUsed/>
    <w:qFormat/>
    <w:pPr>
      <w:keepNext/>
      <w:keepLines/>
      <w:spacing w:before="320" w:after="80"/>
      <w:outlineLvl w:val="2"/>
    </w:pPr>
    <w:rPr>
      <w:rFonts w:ascii="Calibri" w:eastAsia="Calibri" w:hAnsi="Calibri" w:cs="Calibri"/>
      <w:b/>
      <w:color w:val="434343"/>
      <w:sz w:val="28"/>
      <w:szCs w:val="28"/>
    </w:rPr>
  </w:style>
  <w:style w:type="paragraph" w:styleId="Heading4">
    <w:name w:val="heading 4"/>
    <w:basedOn w:val="Normal"/>
    <w:next w:val="Normal"/>
    <w:uiPriority w:val="9"/>
    <w:unhideWhenUsed/>
    <w:qFormat/>
    <w:pPr>
      <w:keepNext/>
      <w:keepLines/>
      <w:spacing w:before="280" w:after="80"/>
      <w:outlineLvl w:val="3"/>
    </w:pPr>
    <w:rPr>
      <w:rFonts w:ascii="Calibri" w:eastAsia="Calibri" w:hAnsi="Calibri" w:cs="Calibri"/>
      <w:b/>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E0DE0"/>
    <w:pPr>
      <w:spacing w:line="240" w:lineRule="auto"/>
    </w:pPr>
  </w:style>
  <w:style w:type="paragraph" w:styleId="Header">
    <w:name w:val="header"/>
    <w:basedOn w:val="Normal"/>
    <w:link w:val="HeaderChar"/>
    <w:uiPriority w:val="99"/>
    <w:unhideWhenUsed/>
    <w:rsid w:val="00B01A4B"/>
    <w:pPr>
      <w:tabs>
        <w:tab w:val="center" w:pos="4680"/>
        <w:tab w:val="right" w:pos="9360"/>
      </w:tabs>
      <w:spacing w:line="240" w:lineRule="auto"/>
    </w:pPr>
  </w:style>
  <w:style w:type="character" w:customStyle="1" w:styleId="HeaderChar">
    <w:name w:val="Header Char"/>
    <w:basedOn w:val="DefaultParagraphFont"/>
    <w:link w:val="Header"/>
    <w:uiPriority w:val="99"/>
    <w:rsid w:val="00B01A4B"/>
  </w:style>
  <w:style w:type="paragraph" w:styleId="Footer">
    <w:name w:val="footer"/>
    <w:basedOn w:val="Normal"/>
    <w:link w:val="FooterChar"/>
    <w:uiPriority w:val="99"/>
    <w:unhideWhenUsed/>
    <w:rsid w:val="00B01A4B"/>
    <w:pPr>
      <w:tabs>
        <w:tab w:val="center" w:pos="4680"/>
        <w:tab w:val="right" w:pos="9360"/>
      </w:tabs>
      <w:spacing w:line="240" w:lineRule="auto"/>
    </w:pPr>
  </w:style>
  <w:style w:type="character" w:customStyle="1" w:styleId="FooterChar">
    <w:name w:val="Footer Char"/>
    <w:basedOn w:val="DefaultParagraphFont"/>
    <w:link w:val="Footer"/>
    <w:uiPriority w:val="99"/>
    <w:rsid w:val="00B01A4B"/>
  </w:style>
  <w:style w:type="character" w:customStyle="1" w:styleId="normaltextrun">
    <w:name w:val="normaltextrun"/>
    <w:basedOn w:val="DefaultParagraphFont"/>
    <w:rsid w:val="00B0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Z7SGx/K+ta3/EX6BDjIO2D3eg==">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59EB92-E31E-4DDA-BDEB-0BCAD0A84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7BE2E-65F5-4100-8ED6-798F216BA8DA}">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customXml/itemProps4.xml><?xml version="1.0" encoding="utf-8"?>
<ds:datastoreItem xmlns:ds="http://schemas.openxmlformats.org/officeDocument/2006/customXml" ds:itemID="{CB19BA8F-5583-47DE-B1DE-CCC4AC040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Willman, Austin</cp:lastModifiedBy>
  <cp:revision>13</cp:revision>
  <dcterms:created xsi:type="dcterms:W3CDTF">2024-06-13T16:48:00Z</dcterms:created>
  <dcterms:modified xsi:type="dcterms:W3CDTF">2024-06-18T20:14:00Z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2024-06-18T20:12:12Z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f85cfacc-0818-4596-9df2-e772f0ed8d67</vt:lpwstr>
  </property>
  <property fmtid="{D5CDD505-2E9C-101B-9397-08002B2CF9AE}" pid="10" name="MSIP_Label_95965d95-ecc0-4720-b759-1f33c42ed7da_ContentBits">
    <vt:lpwstr>0</vt:lpwstr>
  </property>
</Properties>
</file>