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5578C7" w14:textId="1CD3271B" w:rsidR="2CB6D858" w:rsidRDefault="6BA3F938" w:rsidP="772065D9">
      <w:pPr>
        <w:rPr>
          <w:rFonts w:ascii="Calibri" w:eastAsia="Calibri" w:hAnsi="Calibri" w:cs="Calibri"/>
          <w:i/>
          <w:iCs/>
          <w:sz w:val="20"/>
          <w:szCs w:val="20"/>
        </w:rPr>
      </w:pPr>
      <w:r w:rsidRPr="772065D9">
        <w:rPr>
          <w:rFonts w:ascii="Calibri" w:eastAsia="Calibri" w:hAnsi="Calibri" w:cs="Calibri"/>
          <w:i/>
          <w:iCs/>
          <w:sz w:val="20"/>
          <w:szCs w:val="20"/>
        </w:rPr>
        <w:t>*</w:t>
      </w:r>
      <w:r w:rsidR="297F3796" w:rsidRPr="772065D9">
        <w:rPr>
          <w:rFonts w:ascii="Calibri" w:eastAsia="Calibri" w:hAnsi="Calibri" w:cs="Calibri"/>
          <w:i/>
          <w:iCs/>
          <w:sz w:val="20"/>
          <w:szCs w:val="20"/>
        </w:rPr>
        <w:t>This downloadable Word document can be modified and placed in your organization’</w:t>
      </w:r>
      <w:r w:rsidR="4B101236" w:rsidRPr="772065D9">
        <w:rPr>
          <w:rFonts w:ascii="Calibri" w:eastAsia="Calibri" w:hAnsi="Calibri" w:cs="Calibri"/>
          <w:i/>
          <w:iCs/>
          <w:sz w:val="20"/>
          <w:szCs w:val="20"/>
        </w:rPr>
        <w:t>s</w:t>
      </w:r>
      <w:r w:rsidR="297F3796" w:rsidRPr="772065D9">
        <w:rPr>
          <w:rFonts w:ascii="Calibri" w:eastAsia="Calibri" w:hAnsi="Calibri" w:cs="Calibri"/>
          <w:i/>
          <w:iCs/>
          <w:sz w:val="20"/>
          <w:szCs w:val="20"/>
        </w:rPr>
        <w:t xml:space="preserve"> branded template</w:t>
      </w:r>
    </w:p>
    <w:p w14:paraId="3E22B8CE" w14:textId="7BCC2755" w:rsidR="52796509" w:rsidRDefault="52796509" w:rsidP="52796509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00000001" w14:textId="77777777" w:rsidR="00305E9F" w:rsidRDefault="002F62C3" w:rsidP="2AA9422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AA9422C">
        <w:rPr>
          <w:rFonts w:ascii="Calibri" w:eastAsia="Calibri" w:hAnsi="Calibri" w:cs="Calibri"/>
          <w:b/>
          <w:bCs/>
          <w:sz w:val="28"/>
          <w:szCs w:val="28"/>
        </w:rPr>
        <w:t>EV Infrastructure Needs Baseline Assessment</w:t>
      </w:r>
    </w:p>
    <w:p w14:paraId="00000002" w14:textId="77777777" w:rsidR="00305E9F" w:rsidRDefault="00305E9F" w:rsidP="2AA9422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CC0BD33" w14:textId="268C91AC" w:rsidR="7F4D96A6" w:rsidRDefault="7F4D96A6" w:rsidP="69FB644F">
      <w:pPr>
        <w:rPr>
          <w:rFonts w:ascii="Calibri" w:eastAsia="Calibri" w:hAnsi="Calibri" w:cs="Calibri"/>
        </w:rPr>
      </w:pPr>
      <w:r w:rsidRPr="69FB644F">
        <w:rPr>
          <w:rFonts w:ascii="Calibri" w:eastAsia="Calibri" w:hAnsi="Calibri" w:cs="Calibri"/>
        </w:rPr>
        <w:t>Establishing a baseline assessment can help you assess and estimate how many</w:t>
      </w:r>
      <w:r w:rsidR="7A5E2D30" w:rsidRPr="69FB644F">
        <w:rPr>
          <w:rFonts w:ascii="Calibri" w:eastAsia="Calibri" w:hAnsi="Calibri" w:cs="Calibri"/>
        </w:rPr>
        <w:t xml:space="preserve"> electric vehicle (</w:t>
      </w:r>
      <w:r w:rsidRPr="69FB644F">
        <w:rPr>
          <w:rFonts w:ascii="Calibri" w:eastAsia="Calibri" w:hAnsi="Calibri" w:cs="Calibri"/>
        </w:rPr>
        <w:t>EV</w:t>
      </w:r>
      <w:r w:rsidR="20CF59DC" w:rsidRPr="69FB644F">
        <w:rPr>
          <w:rFonts w:ascii="Calibri" w:eastAsia="Calibri" w:hAnsi="Calibri" w:cs="Calibri"/>
        </w:rPr>
        <w:t>)</w:t>
      </w:r>
      <w:r w:rsidRPr="69FB644F">
        <w:rPr>
          <w:rFonts w:ascii="Calibri" w:eastAsia="Calibri" w:hAnsi="Calibri" w:cs="Calibri"/>
        </w:rPr>
        <w:t xml:space="preserve"> chargers you will need to meet demand. A baseline assessment should include an evaluation of scenarios </w:t>
      </w:r>
      <w:r w:rsidR="56847124" w:rsidRPr="69FB644F">
        <w:rPr>
          <w:rFonts w:ascii="Calibri" w:eastAsia="Calibri" w:hAnsi="Calibri" w:cs="Calibri"/>
        </w:rPr>
        <w:t xml:space="preserve">that combine public and private EV charging, levels of charging (Level 2 and DC fast charging), and number of ports. </w:t>
      </w:r>
    </w:p>
    <w:p w14:paraId="7688D48A" w14:textId="57C107E8" w:rsidR="69FB644F" w:rsidRDefault="69FB644F" w:rsidP="69FB644F">
      <w:pPr>
        <w:rPr>
          <w:rFonts w:ascii="Calibri" w:eastAsia="Calibri" w:hAnsi="Calibri" w:cs="Calibri"/>
        </w:rPr>
      </w:pPr>
    </w:p>
    <w:p w14:paraId="00000003" w14:textId="33DC4D3D" w:rsidR="00305E9F" w:rsidRDefault="002F62C3">
      <w:pPr>
        <w:rPr>
          <w:rFonts w:ascii="Calibri" w:eastAsia="Calibri" w:hAnsi="Calibri" w:cs="Calibri"/>
        </w:rPr>
      </w:pPr>
      <w:r w:rsidRPr="69FB644F">
        <w:rPr>
          <w:rFonts w:ascii="Calibri" w:eastAsia="Calibri" w:hAnsi="Calibri" w:cs="Calibri"/>
        </w:rPr>
        <w:t>Conduct a baseline assessment to help you determine the number and type of EV chargers needed to support EV drivers in your area</w:t>
      </w:r>
      <w:r w:rsidR="2978FE48" w:rsidRPr="69FB644F">
        <w:rPr>
          <w:rFonts w:ascii="Calibri" w:eastAsia="Calibri" w:hAnsi="Calibri" w:cs="Calibri"/>
        </w:rPr>
        <w:t xml:space="preserve"> based on high and low percentages of home charging</w:t>
      </w:r>
      <w:r w:rsidR="0BA9BCE0" w:rsidRPr="69FB644F">
        <w:rPr>
          <w:rFonts w:ascii="Calibri" w:eastAsia="Calibri" w:hAnsi="Calibri" w:cs="Calibri"/>
        </w:rPr>
        <w:t xml:space="preserve"> adoption</w:t>
      </w:r>
      <w:r w:rsidRPr="69FB644F">
        <w:rPr>
          <w:rFonts w:ascii="Calibri" w:eastAsia="Calibri" w:hAnsi="Calibri" w:cs="Calibri"/>
        </w:rPr>
        <w:t xml:space="preserve">. This analysis can be based on projected EV adoption at a designated point in the future or your jurisdiction’s EV adoption goals. You can use the provided worksheet to record the data associated with your assessment. </w:t>
      </w:r>
    </w:p>
    <w:p w14:paraId="00000004" w14:textId="77777777" w:rsidR="00305E9F" w:rsidRDefault="00305E9F">
      <w:pPr>
        <w:rPr>
          <w:rFonts w:ascii="Calibri" w:eastAsia="Calibri" w:hAnsi="Calibri" w:cs="Calibri"/>
          <w:i/>
        </w:rPr>
      </w:pPr>
    </w:p>
    <w:p w14:paraId="00000005" w14:textId="341E0A77" w:rsidR="00305E9F" w:rsidRDefault="002F62C3" w:rsidP="69FB644F">
      <w:pPr>
        <w:rPr>
          <w:rFonts w:ascii="Calibri" w:eastAsia="Calibri" w:hAnsi="Calibri" w:cs="Calibri"/>
          <w:i/>
          <w:iCs/>
          <w:sz w:val="20"/>
          <w:szCs w:val="20"/>
        </w:rPr>
      </w:pPr>
      <w:r w:rsidRPr="69FB644F">
        <w:rPr>
          <w:rFonts w:ascii="Calibri" w:eastAsia="Calibri" w:hAnsi="Calibri" w:cs="Calibri"/>
          <w:i/>
          <w:iCs/>
          <w:sz w:val="20"/>
          <w:szCs w:val="20"/>
        </w:rPr>
        <w:t xml:space="preserve">Note: This assessment does not include charging needs for on-demand drivers (transportation network companies like Uber and Lyft) or road trippers and visitors. Tools </w:t>
      </w:r>
      <w:r w:rsidR="2A64D3B5" w:rsidRPr="69FB644F">
        <w:rPr>
          <w:rFonts w:ascii="Calibri" w:eastAsia="Calibri" w:hAnsi="Calibri" w:cs="Calibri"/>
          <w:i/>
          <w:iCs/>
          <w:sz w:val="20"/>
          <w:szCs w:val="20"/>
        </w:rPr>
        <w:t>from the National Renewable Energy Laboratory</w:t>
      </w:r>
      <w:r w:rsidR="26538158" w:rsidRPr="69FB644F">
        <w:rPr>
          <w:rFonts w:ascii="Calibri" w:eastAsia="Calibri" w:hAnsi="Calibri" w:cs="Calibri"/>
          <w:i/>
          <w:iCs/>
          <w:sz w:val="20"/>
          <w:szCs w:val="20"/>
        </w:rPr>
        <w:t xml:space="preserve"> (NREL)</w:t>
      </w:r>
      <w:r w:rsidR="2A64D3B5" w:rsidRPr="69FB644F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7723C571" w:rsidRPr="69FB644F">
        <w:rPr>
          <w:rFonts w:ascii="Calibri" w:eastAsia="Calibri" w:hAnsi="Calibri" w:cs="Calibri"/>
          <w:i/>
          <w:iCs/>
          <w:sz w:val="20"/>
          <w:szCs w:val="20"/>
        </w:rPr>
        <w:t>such as</w:t>
      </w:r>
      <w:r w:rsidRPr="69FB644F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hyperlink r:id="rId11">
        <w:r w:rsidRPr="69FB644F">
          <w:rPr>
            <w:rFonts w:ascii="Calibri" w:eastAsia="Calibri" w:hAnsi="Calibri" w:cs="Calibri"/>
            <w:i/>
            <w:iCs/>
            <w:color w:val="1155CC"/>
            <w:sz w:val="20"/>
            <w:szCs w:val="20"/>
            <w:u w:val="single"/>
          </w:rPr>
          <w:t>EVI On-Demand</w:t>
        </w:r>
      </w:hyperlink>
      <w:r w:rsidRPr="69FB644F">
        <w:rPr>
          <w:rFonts w:ascii="Calibri" w:eastAsia="Calibri" w:hAnsi="Calibri" w:cs="Calibri"/>
          <w:i/>
          <w:iCs/>
          <w:sz w:val="20"/>
          <w:szCs w:val="20"/>
        </w:rPr>
        <w:t xml:space="preserve"> and</w:t>
      </w:r>
      <w:r w:rsidR="000A789D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hyperlink r:id="rId12">
        <w:r w:rsidR="000A789D">
          <w:rPr>
            <w:rFonts w:ascii="Calibri" w:eastAsia="Calibri" w:hAnsi="Calibri" w:cs="Calibri"/>
            <w:i/>
            <w:iCs/>
            <w:color w:val="1155CC"/>
            <w:sz w:val="20"/>
            <w:szCs w:val="20"/>
            <w:u w:val="single"/>
            <w:lang w:val="en-US"/>
          </w:rPr>
          <w:t>EVI-</w:t>
        </w:r>
        <w:proofErr w:type="spellStart"/>
        <w:r w:rsidR="000A789D">
          <w:rPr>
            <w:rFonts w:ascii="Calibri" w:eastAsia="Calibri" w:hAnsi="Calibri" w:cs="Calibri"/>
            <w:i/>
            <w:iCs/>
            <w:color w:val="1155CC"/>
            <w:sz w:val="20"/>
            <w:szCs w:val="20"/>
            <w:u w:val="single"/>
            <w:lang w:val="en-US"/>
          </w:rPr>
          <w:t>RoadTrip</w:t>
        </w:r>
        <w:proofErr w:type="spellEnd"/>
      </w:hyperlink>
      <w:r w:rsidRPr="69FB644F">
        <w:rPr>
          <w:rFonts w:ascii="Calibri" w:eastAsia="Calibri" w:hAnsi="Calibri" w:cs="Calibri"/>
          <w:i/>
          <w:iCs/>
          <w:sz w:val="20"/>
          <w:szCs w:val="20"/>
        </w:rPr>
        <w:t xml:space="preserve"> can complement the projections that result from this activity to provide a more detailed assessment of requirements.</w:t>
      </w:r>
    </w:p>
    <w:p w14:paraId="00000006" w14:textId="77777777" w:rsidR="00305E9F" w:rsidRDefault="00305E9F">
      <w:pPr>
        <w:rPr>
          <w:rFonts w:ascii="Calibri" w:eastAsia="Calibri" w:hAnsi="Calibri" w:cs="Calibri"/>
        </w:rPr>
      </w:pPr>
    </w:p>
    <w:p w14:paraId="13FFC67B" w14:textId="77777777" w:rsidR="00A4736D" w:rsidRPr="00804772" w:rsidRDefault="00A4736D" w:rsidP="00A4736D">
      <w:pPr>
        <w:rPr>
          <w:rFonts w:ascii="Calibri" w:eastAsia="Calibri" w:hAnsi="Calibri" w:cs="Calibri"/>
          <w:b/>
          <w:bCs/>
          <w:lang w:val="en-US"/>
        </w:rPr>
      </w:pPr>
      <w:r w:rsidRPr="00804772">
        <w:rPr>
          <w:rFonts w:ascii="Calibri" w:eastAsia="Calibri" w:hAnsi="Calibri" w:cs="Calibri"/>
          <w:b/>
          <w:bCs/>
          <w:lang w:val="en-US"/>
        </w:rPr>
        <w:t>Step 1: Identify the EV projections and/or goals for your infrastructure needs analysis based on a high percentage of home charging (consider using estimates that reflect potential EV charging demand at multiple points in the future</w:t>
      </w:r>
      <w:r>
        <w:rPr>
          <w:rFonts w:ascii="Calibri" w:eastAsia="Calibri" w:hAnsi="Calibri" w:cs="Calibri"/>
          <w:b/>
          <w:bCs/>
          <w:lang w:val="en-US"/>
        </w:rPr>
        <w:t>—</w:t>
      </w:r>
      <w:r w:rsidRPr="00804772">
        <w:rPr>
          <w:rFonts w:ascii="Calibri" w:eastAsia="Calibri" w:hAnsi="Calibri" w:cs="Calibri"/>
          <w:b/>
          <w:bCs/>
          <w:lang w:val="en-US"/>
        </w:rPr>
        <w:t>e.g., 2025, 2030, and 2035).</w:t>
      </w:r>
    </w:p>
    <w:p w14:paraId="00000008" w14:textId="77777777" w:rsidR="00305E9F" w:rsidRDefault="00305E9F">
      <w:pPr>
        <w:rPr>
          <w:rFonts w:ascii="Calibri" w:eastAsia="Calibri" w:hAnsi="Calibri" w:cs="Calibri"/>
        </w:rPr>
      </w:pPr>
    </w:p>
    <w:p w14:paraId="33C18111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i/>
          <w:iCs/>
          <w:lang w:val="en-US"/>
        </w:rPr>
        <w:t>Option 1:</w:t>
      </w:r>
      <w:r w:rsidRPr="00804772">
        <w:rPr>
          <w:rFonts w:ascii="Calibri" w:eastAsia="Calibri" w:hAnsi="Calibri" w:cs="Calibri"/>
          <w:lang w:val="en-US"/>
        </w:rPr>
        <w:t xml:space="preserve"> Use local projections for EV adoption.</w:t>
      </w:r>
    </w:p>
    <w:p w14:paraId="2181348E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i/>
          <w:iCs/>
          <w:lang w:val="en-US"/>
        </w:rPr>
        <w:t>Option 2:</w:t>
      </w:r>
      <w:r w:rsidRPr="00804772">
        <w:rPr>
          <w:rFonts w:ascii="Calibri" w:eastAsia="Calibri" w:hAnsi="Calibri" w:cs="Calibri"/>
          <w:lang w:val="en-US"/>
        </w:rPr>
        <w:t xml:space="preserve"> Use local EV adoption goals from your jurisdiction’s existing plans or policies.</w:t>
      </w:r>
    </w:p>
    <w:p w14:paraId="74C9FB15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i/>
          <w:iCs/>
          <w:lang w:val="en-US"/>
        </w:rPr>
        <w:t>Option 3:</w:t>
      </w:r>
      <w:r w:rsidRPr="00804772">
        <w:rPr>
          <w:rFonts w:ascii="Calibri" w:eastAsia="Calibri" w:hAnsi="Calibri" w:cs="Calibri"/>
          <w:lang w:val="en-US"/>
        </w:rPr>
        <w:t xml:space="preserve"> Use </w:t>
      </w:r>
      <w:hyperlink r:id="rId13">
        <w:r w:rsidRPr="00804772">
          <w:rPr>
            <w:rFonts w:ascii="Calibri" w:eastAsia="Calibri" w:hAnsi="Calibri" w:cs="Calibri"/>
            <w:color w:val="0000FF"/>
            <w:u w:val="single"/>
            <w:lang w:val="en-US"/>
          </w:rPr>
          <w:t>state-level projections</w:t>
        </w:r>
      </w:hyperlink>
      <w:r w:rsidRPr="00804772">
        <w:rPr>
          <w:rFonts w:ascii="Calibri" w:eastAsia="Calibri" w:hAnsi="Calibri" w:cs="Calibri"/>
          <w:lang w:val="en-US"/>
        </w:rPr>
        <w:t xml:space="preserve"> from NREL’s </w:t>
      </w:r>
      <w:hyperlink r:id="rId14">
        <w:r>
          <w:rPr>
            <w:rStyle w:val="Hyperlink"/>
            <w:rFonts w:ascii="Calibri" w:eastAsia="Calibri" w:hAnsi="Calibri" w:cs="Calibri"/>
            <w:lang w:val="en-US"/>
          </w:rPr>
          <w:t>2030 National Charging Network report</w:t>
        </w:r>
      </w:hyperlink>
      <w:r w:rsidRPr="00804772">
        <w:rPr>
          <w:rFonts w:ascii="Calibri" w:eastAsia="Calibri" w:hAnsi="Calibri" w:cs="Calibri"/>
          <w:lang w:val="en-US"/>
        </w:rPr>
        <w:t>.</w:t>
      </w:r>
    </w:p>
    <w:p w14:paraId="03B24A1F" w14:textId="77777777" w:rsidR="00A761EB" w:rsidRPr="00804772" w:rsidRDefault="00A761EB" w:rsidP="00A761EB">
      <w:pPr>
        <w:rPr>
          <w:rFonts w:ascii="Calibri" w:eastAsia="Calibri" w:hAnsi="Calibri" w:cs="Calibri"/>
          <w:sz w:val="10"/>
          <w:szCs w:val="10"/>
          <w:lang w:val="en-US"/>
        </w:rPr>
      </w:pPr>
    </w:p>
    <w:p w14:paraId="69D2338B" w14:textId="77777777" w:rsidR="00A761EB" w:rsidRPr="00804772" w:rsidRDefault="00A761EB" w:rsidP="00A761EB">
      <w:pPr>
        <w:numPr>
          <w:ilvl w:val="0"/>
          <w:numId w:val="3"/>
        </w:numPr>
        <w:rPr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Click on this link: </w:t>
      </w:r>
      <w:hyperlink r:id="rId15">
        <w:r w:rsidRPr="00804772">
          <w:rPr>
            <w:rFonts w:ascii="Calibri" w:eastAsia="Calibri" w:hAnsi="Calibri" w:cs="Calibri"/>
            <w:color w:val="1155CC"/>
            <w:u w:val="single"/>
            <w:lang w:val="en-US"/>
          </w:rPr>
          <w:t>https://data.nrel.gov/submissions/214</w:t>
        </w:r>
      </w:hyperlink>
      <w:r w:rsidRPr="00804772">
        <w:rPr>
          <w:rFonts w:ascii="Calibri" w:eastAsia="Calibri" w:hAnsi="Calibri" w:cs="Calibri"/>
          <w:lang w:val="en-US"/>
        </w:rPr>
        <w:t>.</w:t>
      </w:r>
    </w:p>
    <w:p w14:paraId="401042BF" w14:textId="77777777" w:rsidR="00A761EB" w:rsidRPr="00804772" w:rsidRDefault="00A761EB" w:rsidP="00A761EB">
      <w:pPr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Download the</w:t>
      </w:r>
      <w:r w:rsidRPr="00804772">
        <w:rPr>
          <w:rFonts w:ascii="Calibri" w:eastAsia="Calibri" w:hAnsi="Calibri" w:cs="Calibri"/>
          <w:i/>
          <w:lang w:val="en-US"/>
        </w:rPr>
        <w:t xml:space="preserve"> </w:t>
      </w:r>
      <w:r>
        <w:rPr>
          <w:rFonts w:ascii="Calibri" w:eastAsia="Calibri" w:hAnsi="Calibri" w:cs="Calibri"/>
          <w:i/>
          <w:lang w:val="en-US"/>
        </w:rPr>
        <w:t>s</w:t>
      </w:r>
      <w:r w:rsidRPr="00804772">
        <w:rPr>
          <w:rFonts w:ascii="Calibri" w:eastAsia="Calibri" w:hAnsi="Calibri" w:cs="Calibri"/>
          <w:i/>
          <w:lang w:val="en-US"/>
        </w:rPr>
        <w:t>tate</w:t>
      </w:r>
      <w:r>
        <w:rPr>
          <w:rFonts w:ascii="Calibri" w:eastAsia="Calibri" w:hAnsi="Calibri" w:cs="Calibri"/>
          <w:i/>
          <w:lang w:val="en-US"/>
        </w:rPr>
        <w:t>_cbsa</w:t>
      </w:r>
      <w:r w:rsidRPr="00804772">
        <w:rPr>
          <w:rFonts w:ascii="Calibri" w:eastAsia="Calibri" w:hAnsi="Calibri" w:cs="Calibri"/>
          <w:i/>
          <w:lang w:val="en-US"/>
        </w:rPr>
        <w:t>-2030ncn-results</w:t>
      </w:r>
      <w:r>
        <w:rPr>
          <w:rFonts w:ascii="Calibri" w:eastAsia="Calibri" w:hAnsi="Calibri" w:cs="Calibri"/>
          <w:i/>
          <w:lang w:val="en-US"/>
        </w:rPr>
        <w:t>.zip</w:t>
      </w:r>
      <w:r w:rsidRPr="00804772">
        <w:rPr>
          <w:rFonts w:ascii="Calibri" w:eastAsia="Calibri" w:hAnsi="Calibri" w:cs="Calibri"/>
          <w:lang w:val="en-US"/>
        </w:rPr>
        <w:t xml:space="preserve"> folder and unzip the files. </w:t>
      </w:r>
    </w:p>
    <w:p w14:paraId="4ADD7EC4" w14:textId="77777777" w:rsidR="00A761EB" w:rsidRPr="00804772" w:rsidRDefault="00A761EB" w:rsidP="00A761EB">
      <w:pPr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Once the files are unzipped, you will see a file for each state. Select the state of your target municipality</w:t>
      </w:r>
      <w:r>
        <w:rPr>
          <w:rFonts w:ascii="Calibri" w:eastAsia="Calibri" w:hAnsi="Calibri" w:cs="Calibri"/>
          <w:lang w:val="en-US"/>
        </w:rPr>
        <w:t xml:space="preserve"> or municipalities</w:t>
      </w:r>
      <w:r w:rsidRPr="00804772">
        <w:rPr>
          <w:rFonts w:ascii="Calibri" w:eastAsia="Calibri" w:hAnsi="Calibri" w:cs="Calibri"/>
          <w:lang w:val="en-US"/>
        </w:rPr>
        <w:t xml:space="preserve">. </w:t>
      </w:r>
    </w:p>
    <w:p w14:paraId="2E54F5D4" w14:textId="77777777" w:rsidR="00A761EB" w:rsidRPr="00804772" w:rsidRDefault="00A761EB" w:rsidP="00A761EB">
      <w:pPr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Each state file contains 12 projections. </w:t>
      </w:r>
    </w:p>
    <w:p w14:paraId="0C678A94" w14:textId="77777777" w:rsidR="00A761EB" w:rsidRPr="00804772" w:rsidRDefault="00A761EB" w:rsidP="00A761EB">
      <w:pPr>
        <w:numPr>
          <w:ilvl w:val="1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Select three to five files (unique projection scenarios) that you want to explore as possible projections to use as inputs in the EVI-Pro Lite tool to estimate EV infrastructure needs. </w:t>
      </w:r>
    </w:p>
    <w:p w14:paraId="7B3C0AF5" w14:textId="77777777" w:rsidR="00A761EB" w:rsidRPr="00804772" w:rsidRDefault="00A761EB" w:rsidP="00A761EB">
      <w:pPr>
        <w:numPr>
          <w:ilvl w:val="1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Open the corresponding Excel files.</w:t>
      </w:r>
    </w:p>
    <w:p w14:paraId="497D45E0" w14:textId="77777777" w:rsidR="00A761EB" w:rsidRPr="00804772" w:rsidRDefault="00A761EB" w:rsidP="00A761EB">
      <w:pPr>
        <w:numPr>
          <w:ilvl w:val="1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Useful projection scenario files may include </w:t>
      </w:r>
      <w:r w:rsidRPr="0066028B">
        <w:rPr>
          <w:rFonts w:ascii="Calibri" w:eastAsia="Calibri" w:hAnsi="Calibri" w:cs="Calibri"/>
          <w:i/>
          <w:iCs/>
          <w:lang w:val="en-US"/>
        </w:rPr>
        <w:t>baseline</w:t>
      </w:r>
      <w:r w:rsidRPr="00804772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6028B">
        <w:rPr>
          <w:rFonts w:ascii="Calibri" w:eastAsia="Calibri" w:hAnsi="Calibri" w:cs="Calibri"/>
          <w:i/>
          <w:iCs/>
          <w:lang w:val="en-US"/>
        </w:rPr>
        <w:t>low_home_charging_access</w:t>
      </w:r>
      <w:proofErr w:type="spellEnd"/>
      <w:r w:rsidRPr="00804772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6028B">
        <w:rPr>
          <w:rFonts w:ascii="Calibri" w:eastAsia="Calibri" w:hAnsi="Calibri" w:cs="Calibri"/>
          <w:i/>
          <w:iCs/>
          <w:lang w:val="en-US"/>
        </w:rPr>
        <w:t>high_home_charging_access</w:t>
      </w:r>
      <w:proofErr w:type="spellEnd"/>
      <w:r w:rsidRPr="00804772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6028B">
        <w:rPr>
          <w:rFonts w:ascii="Calibri" w:eastAsia="Calibri" w:hAnsi="Calibri" w:cs="Calibri"/>
          <w:i/>
          <w:iCs/>
          <w:lang w:val="en-US"/>
        </w:rPr>
        <w:t>fast_sales_growth</w:t>
      </w:r>
      <w:proofErr w:type="spellEnd"/>
      <w:r w:rsidRPr="00804772">
        <w:rPr>
          <w:rFonts w:ascii="Calibri" w:eastAsia="Calibri" w:hAnsi="Calibri" w:cs="Calibri"/>
          <w:lang w:val="en-US"/>
        </w:rPr>
        <w:t xml:space="preserve">, and/or </w:t>
      </w:r>
      <w:proofErr w:type="spellStart"/>
      <w:r w:rsidRPr="0066028B">
        <w:rPr>
          <w:rFonts w:ascii="Calibri" w:eastAsia="Calibri" w:hAnsi="Calibri" w:cs="Calibri"/>
          <w:i/>
          <w:iCs/>
          <w:lang w:val="en-US"/>
        </w:rPr>
        <w:t>low_sales_growth</w:t>
      </w:r>
      <w:proofErr w:type="spellEnd"/>
      <w:r w:rsidRPr="00804772">
        <w:rPr>
          <w:rFonts w:ascii="Calibri" w:eastAsia="Calibri" w:hAnsi="Calibri" w:cs="Calibri"/>
          <w:lang w:val="en-US"/>
        </w:rPr>
        <w:t xml:space="preserve">. </w:t>
      </w:r>
    </w:p>
    <w:p w14:paraId="65EE795D" w14:textId="77777777" w:rsidR="00A761EB" w:rsidRPr="00804772" w:rsidRDefault="00A761EB" w:rsidP="00A761EB">
      <w:pPr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Locate your target “</w:t>
      </w:r>
      <w:proofErr w:type="spellStart"/>
      <w:r w:rsidRPr="00804772">
        <w:rPr>
          <w:rFonts w:ascii="Calibri" w:eastAsia="Calibri" w:hAnsi="Calibri" w:cs="Calibri"/>
          <w:lang w:val="en-US"/>
        </w:rPr>
        <w:t>region</w:t>
      </w:r>
      <w:r>
        <w:rPr>
          <w:rFonts w:ascii="Calibri" w:eastAsia="Calibri" w:hAnsi="Calibri" w:cs="Calibri"/>
          <w:lang w:val="en-US"/>
        </w:rPr>
        <w:softHyphen/>
        <w:t>_</w:t>
      </w:r>
      <w:r w:rsidRPr="00804772">
        <w:rPr>
          <w:rFonts w:ascii="Calibri" w:eastAsia="Calibri" w:hAnsi="Calibri" w:cs="Calibri"/>
          <w:lang w:val="en-US"/>
        </w:rPr>
        <w:t>name</w:t>
      </w:r>
      <w:proofErr w:type="spellEnd"/>
      <w:r w:rsidRPr="00804772">
        <w:rPr>
          <w:rFonts w:ascii="Calibri" w:eastAsia="Calibri" w:hAnsi="Calibri" w:cs="Calibri"/>
          <w:lang w:val="en-US"/>
        </w:rPr>
        <w:t xml:space="preserve">” within these Excel files. If your exact region is not included, locate a nearby and/or similar region to use as a proxy for this exercise. </w:t>
      </w:r>
    </w:p>
    <w:p w14:paraId="08B2E092" w14:textId="77777777" w:rsidR="00A761EB" w:rsidRPr="00804772" w:rsidRDefault="00A761EB" w:rsidP="00A761EB">
      <w:pPr>
        <w:numPr>
          <w:ilvl w:val="1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Locate the projected number of plug-in electric vehicles</w:t>
      </w:r>
      <w:r>
        <w:rPr>
          <w:rFonts w:ascii="Calibri" w:eastAsia="Calibri" w:hAnsi="Calibri" w:cs="Calibri"/>
          <w:lang w:val="en-US"/>
        </w:rPr>
        <w:t xml:space="preserve"> (PEVs</w:t>
      </w:r>
      <w:r w:rsidRPr="00804772">
        <w:rPr>
          <w:rFonts w:ascii="Calibri" w:eastAsia="Calibri" w:hAnsi="Calibri" w:cs="Calibri"/>
          <w:lang w:val="en-US"/>
        </w:rPr>
        <w:t>, including both battery</w:t>
      </w:r>
      <w:r>
        <w:rPr>
          <w:rFonts w:ascii="Calibri" w:eastAsia="Calibri" w:hAnsi="Calibri" w:cs="Calibri"/>
          <w:lang w:val="en-US"/>
        </w:rPr>
        <w:t>-</w:t>
      </w:r>
      <w:r w:rsidRPr="00804772">
        <w:rPr>
          <w:rFonts w:ascii="Calibri" w:eastAsia="Calibri" w:hAnsi="Calibri" w:cs="Calibri"/>
          <w:lang w:val="en-US"/>
        </w:rPr>
        <w:t xml:space="preserve">electric and plug-in hybrid vehicles) for the year 2025. </w:t>
      </w:r>
    </w:p>
    <w:p w14:paraId="515DF736" w14:textId="77777777" w:rsidR="00A761EB" w:rsidRPr="00804772" w:rsidRDefault="00A761EB" w:rsidP="00A761EB">
      <w:pPr>
        <w:numPr>
          <w:ilvl w:val="1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Switch to the 2030 tab and locate the projected number of PEVs for that year. </w:t>
      </w:r>
    </w:p>
    <w:p w14:paraId="1CE1B8F9" w14:textId="77777777" w:rsidR="00A761EB" w:rsidRPr="00804772" w:rsidRDefault="00A761EB" w:rsidP="00A761EB">
      <w:pPr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Based on your exploration of various projected PEV ownership rates under unique scenarios, choose one EV adoption scenario to use for your EV infrastructure needs baseline assessment. </w:t>
      </w:r>
    </w:p>
    <w:p w14:paraId="1A81E095" w14:textId="77777777" w:rsidR="00A761EB" w:rsidRPr="00804772" w:rsidRDefault="00A761EB" w:rsidP="00A761EB">
      <w:pPr>
        <w:rPr>
          <w:rFonts w:ascii="Calibri" w:eastAsia="Calibri" w:hAnsi="Calibri" w:cs="Calibri"/>
          <w:b/>
          <w:lang w:val="en-US"/>
        </w:rPr>
      </w:pPr>
    </w:p>
    <w:p w14:paraId="0391697B" w14:textId="77777777" w:rsidR="00A761EB" w:rsidRPr="00804772" w:rsidRDefault="00A761EB" w:rsidP="00A761EB">
      <w:pPr>
        <w:rPr>
          <w:rFonts w:ascii="Calibri" w:eastAsia="Calibri" w:hAnsi="Calibri" w:cs="Calibri"/>
          <w:b/>
          <w:bCs/>
          <w:lang w:val="en-US"/>
        </w:rPr>
      </w:pPr>
      <w:r w:rsidRPr="00804772">
        <w:rPr>
          <w:rFonts w:ascii="Calibri" w:eastAsia="Calibri" w:hAnsi="Calibri" w:cs="Calibri"/>
          <w:b/>
          <w:bCs/>
          <w:lang w:val="en-US"/>
        </w:rPr>
        <w:t xml:space="preserve">Step 2: Run calculations in NREL’s </w:t>
      </w:r>
      <w:hyperlink r:id="rId16">
        <w:r w:rsidRPr="00804772">
          <w:rPr>
            <w:rFonts w:ascii="Calibri" w:eastAsia="Calibri" w:hAnsi="Calibri" w:cs="Calibri"/>
            <w:b/>
            <w:bCs/>
            <w:color w:val="0000FF"/>
            <w:u w:val="single"/>
            <w:lang w:val="en-US"/>
          </w:rPr>
          <w:t>EVI-Pro Lite</w:t>
        </w:r>
      </w:hyperlink>
      <w:r w:rsidRPr="00804772">
        <w:rPr>
          <w:rFonts w:ascii="Calibri" w:eastAsia="Calibri" w:hAnsi="Calibri" w:cs="Calibri"/>
          <w:b/>
          <w:bCs/>
          <w:lang w:val="en-US"/>
        </w:rPr>
        <w:t xml:space="preserve"> online tool to determine the number of chargers needed if there is a lower percentage of home charging.</w:t>
      </w:r>
    </w:p>
    <w:p w14:paraId="7C8853BE" w14:textId="77777777" w:rsidR="00A761EB" w:rsidRPr="00804772" w:rsidRDefault="00A761EB" w:rsidP="00A761EB">
      <w:pPr>
        <w:numPr>
          <w:ilvl w:val="0"/>
          <w:numId w:val="1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Input the first in your series of EV projections or goals. </w:t>
      </w:r>
    </w:p>
    <w:p w14:paraId="1501ABD8" w14:textId="77777777" w:rsidR="00A761EB" w:rsidRPr="00804772" w:rsidRDefault="00A761EB" w:rsidP="00A761EB">
      <w:pPr>
        <w:numPr>
          <w:ilvl w:val="0"/>
          <w:numId w:val="1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Take screenshots of the charts the tool generates.</w:t>
      </w:r>
    </w:p>
    <w:p w14:paraId="7C2A2ED8" w14:textId="77777777" w:rsidR="00A761EB" w:rsidRPr="00804772" w:rsidRDefault="00A761EB" w:rsidP="00A761EB">
      <w:pPr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Reduce the percentage of at</w:t>
      </w:r>
      <w:r>
        <w:rPr>
          <w:rFonts w:ascii="Calibri" w:eastAsia="Calibri" w:hAnsi="Calibri" w:cs="Calibri"/>
          <w:lang w:val="en-US"/>
        </w:rPr>
        <w:t>-</w:t>
      </w:r>
      <w:r w:rsidRPr="00804772">
        <w:rPr>
          <w:rFonts w:ascii="Calibri" w:eastAsia="Calibri" w:hAnsi="Calibri" w:cs="Calibri"/>
          <w:lang w:val="en-US"/>
        </w:rPr>
        <w:t xml:space="preserve">home charging. </w:t>
      </w:r>
      <w:r w:rsidRPr="00804772">
        <w:rPr>
          <w:rFonts w:ascii="Calibri" w:eastAsia="Calibri" w:hAnsi="Calibri" w:cs="Calibri"/>
          <w:i/>
          <w:lang w:val="en-US"/>
        </w:rPr>
        <w:t>Note: Consider setting the percentage of at-home charging equal to the percentage of homeowners (thereby assuming no at-home charging for renters).</w:t>
      </w:r>
    </w:p>
    <w:p w14:paraId="79540934" w14:textId="77777777" w:rsidR="00A761EB" w:rsidRPr="00804772" w:rsidRDefault="00A761EB" w:rsidP="00A761EB">
      <w:pPr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Hit “Recalculate.”</w:t>
      </w:r>
    </w:p>
    <w:p w14:paraId="27F21018" w14:textId="77777777" w:rsidR="00A761EB" w:rsidRPr="00804772" w:rsidRDefault="00A761EB" w:rsidP="00A761EB">
      <w:pPr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 xml:space="preserve">Screenshot the generated charts. </w:t>
      </w:r>
    </w:p>
    <w:p w14:paraId="0C603A78" w14:textId="77777777" w:rsidR="00A761EB" w:rsidRPr="00804772" w:rsidRDefault="00A761EB" w:rsidP="00A761EB">
      <w:pPr>
        <w:rPr>
          <w:rFonts w:ascii="Calibri" w:eastAsia="Calibri" w:hAnsi="Calibri" w:cs="Calibri"/>
          <w:b/>
          <w:bCs/>
          <w:lang w:val="en-US"/>
        </w:rPr>
      </w:pPr>
    </w:p>
    <w:p w14:paraId="62AFC796" w14:textId="77777777" w:rsidR="00A761EB" w:rsidRDefault="00A761EB" w:rsidP="00A761EB">
      <w:pPr>
        <w:rPr>
          <w:rFonts w:ascii="Calibri" w:eastAsia="Calibri" w:hAnsi="Calibri" w:cs="Calibri"/>
          <w:b/>
          <w:bCs/>
          <w:lang w:val="en-US"/>
        </w:rPr>
      </w:pPr>
      <w:r w:rsidRPr="00804772">
        <w:rPr>
          <w:noProof/>
          <w:lang w:val="en-US"/>
        </w:rPr>
        <mc:AlternateContent>
          <mc:Choice Requires="wps">
            <w:drawing>
              <wp:inline distT="0" distB="0" distL="114300" distR="114300" wp14:anchorId="51A33CCA" wp14:editId="7E5FF077">
                <wp:extent cx="6174798" cy="771525"/>
                <wp:effectExtent l="0" t="0" r="0" b="0"/>
                <wp:docPr id="1430603267" name="Rectangle 1430603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364" y="3399000"/>
                          <a:ext cx="6165273" cy="76200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9525" cap="flat" cmpd="sng">
                          <a:solidFill>
                            <a:schemeClr val="l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780E18" w14:textId="77777777" w:rsidR="00A761EB" w:rsidRDefault="00A761EB" w:rsidP="00A761E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You now have two EV infrastructure projections to meet your first interim vehicle goal or projection! The first shows the number of chargers if there is a higher percentage of home charging, and the second shows the number of chargers needed if there is a lower percentage of home charging.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33CCA" id="Rectangle 1430603267" o:spid="_x0000_s1026" style="width:486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" fillcolor="#eeece1 [3203]" strokecolor="#eeece1 [3203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780E18" w14:textId="77777777" w:rsidR="00A761EB" w:rsidRDefault="00A761EB" w:rsidP="00A761E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You now have two EV infrastructure projections to meet your first interim vehicle goal or projection! The first shows the number of chargers if there is a higher percentage of home charging, and the second shows the number of chargers needed if there is a lower percentage of home charging.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B96A7E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b/>
          <w:bCs/>
          <w:lang w:val="en-US"/>
        </w:rPr>
        <w:t xml:space="preserve">Step </w:t>
      </w:r>
      <w:r>
        <w:rPr>
          <w:rFonts w:ascii="Calibri" w:eastAsia="Calibri" w:hAnsi="Calibri" w:cs="Calibri"/>
          <w:b/>
          <w:bCs/>
          <w:lang w:val="en-US"/>
        </w:rPr>
        <w:t>3</w:t>
      </w:r>
      <w:r w:rsidRPr="00804772">
        <w:rPr>
          <w:rFonts w:ascii="Calibri" w:eastAsia="Calibri" w:hAnsi="Calibri" w:cs="Calibri"/>
          <w:b/>
          <w:bCs/>
          <w:lang w:val="en-US"/>
        </w:rPr>
        <w:t>:</w:t>
      </w:r>
      <w:r w:rsidRPr="00804772">
        <w:rPr>
          <w:rFonts w:ascii="Calibri" w:eastAsia="Calibri" w:hAnsi="Calibri" w:cs="Calibri"/>
          <w:lang w:val="en-US"/>
        </w:rPr>
        <w:t xml:space="preserve"> </w:t>
      </w:r>
      <w:r w:rsidRPr="00804772">
        <w:rPr>
          <w:rFonts w:ascii="Calibri" w:eastAsia="Calibri" w:hAnsi="Calibri" w:cs="Calibri"/>
          <w:b/>
          <w:bCs/>
          <w:lang w:val="en-US"/>
        </w:rPr>
        <w:t>Repeat Step 2 for each projection in your series.</w:t>
      </w:r>
      <w:r w:rsidRPr="00804772">
        <w:rPr>
          <w:rFonts w:ascii="Calibri" w:eastAsia="Calibri" w:hAnsi="Calibri" w:cs="Calibri"/>
          <w:lang w:val="en-US"/>
        </w:rPr>
        <w:t xml:space="preserve"> You should have two sets of infrastructure needs for each EV adoption projection/goal.</w:t>
      </w:r>
    </w:p>
    <w:p w14:paraId="2B375298" w14:textId="77777777" w:rsidR="00A761EB" w:rsidRPr="00804772" w:rsidRDefault="00A761EB" w:rsidP="00A761EB">
      <w:pPr>
        <w:rPr>
          <w:rFonts w:ascii="Calibri" w:eastAsia="Calibri" w:hAnsi="Calibri" w:cs="Calibri"/>
          <w:b/>
          <w:lang w:val="en-US"/>
        </w:rPr>
      </w:pPr>
      <w:r w:rsidRPr="00804772">
        <w:rPr>
          <w:rFonts w:ascii="Calibri" w:eastAsia="Calibri" w:hAnsi="Calibri" w:cs="Calibri"/>
          <w:b/>
          <w:lang w:val="en-US"/>
        </w:rPr>
        <w:t>You can</w:t>
      </w:r>
      <w:sdt>
        <w:sdtPr>
          <w:rPr>
            <w:lang w:val="en-US"/>
          </w:rPr>
          <w:tag w:val="goog_rdk_0"/>
          <w:id w:val="1275904836"/>
        </w:sdtPr>
        <w:sdtContent>
          <w:commentRangeStart w:id="0"/>
        </w:sdtContent>
      </w:sdt>
      <w:r w:rsidRPr="00804772">
        <w:rPr>
          <w:rFonts w:ascii="Calibri" w:eastAsia="Calibri" w:hAnsi="Calibri" w:cs="Calibri"/>
          <w:b/>
          <w:lang w:val="en-US"/>
        </w:rPr>
        <w:t xml:space="preserve"> record your data here:</w:t>
      </w:r>
      <w:commentRangeEnd w:id="0"/>
      <w:r w:rsidRPr="00804772">
        <w:rPr>
          <w:lang w:val="en-US"/>
        </w:rPr>
        <w:commentReference w:id="0"/>
      </w:r>
    </w:p>
    <w:p w14:paraId="04685D93" w14:textId="77777777" w:rsidR="00A761EB" w:rsidRPr="00804772" w:rsidRDefault="00A761EB" w:rsidP="00A761EB">
      <w:pPr>
        <w:rPr>
          <w:rFonts w:ascii="Calibri" w:eastAsia="Calibri" w:hAnsi="Calibri" w:cs="Calibri"/>
          <w:b/>
          <w:lang w:val="en-US"/>
        </w:rPr>
      </w:pPr>
    </w:p>
    <w:p w14:paraId="32DA8767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By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year of first goal/projection</w:t>
      </w:r>
      <w:r w:rsidRPr="0066028B">
        <w:rPr>
          <w:rFonts w:ascii="Calibri" w:eastAsia="Calibri" w:hAnsi="Calibri" w:cs="Calibri"/>
          <w:lang w:val="en-US"/>
        </w:rPr>
        <w:t>]</w:t>
      </w:r>
      <w:r w:rsidRPr="00804772">
        <w:rPr>
          <w:rFonts w:ascii="Calibri" w:eastAsia="Calibri" w:hAnsi="Calibri" w:cs="Calibri"/>
          <w:lang w:val="en-US"/>
        </w:rPr>
        <w:t xml:space="preserve"> we aim to have </w:t>
      </w:r>
      <w:r w:rsidRPr="00804772">
        <w:rPr>
          <w:rFonts w:ascii="Calibri" w:eastAsia="Calibri" w:hAnsi="Calibri" w:cs="Calibri"/>
          <w:i/>
          <w:lang w:val="en-US"/>
        </w:rPr>
        <w:t>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goal/projection</w:t>
      </w:r>
      <w:r w:rsidRPr="00804772">
        <w:rPr>
          <w:rFonts w:ascii="Calibri" w:eastAsia="Calibri" w:hAnsi="Calibri" w:cs="Calibri"/>
          <w:i/>
          <w:lang w:val="en-US"/>
        </w:rPr>
        <w:t>]</w:t>
      </w:r>
      <w:r w:rsidRPr="008047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EV</w:t>
      </w:r>
      <w:r w:rsidRPr="00804772">
        <w:rPr>
          <w:rFonts w:ascii="Calibri" w:eastAsia="Calibri" w:hAnsi="Calibri" w:cs="Calibri"/>
          <w:lang w:val="en-US"/>
        </w:rPr>
        <w:t>s registered in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jurisdiction name</w:t>
      </w:r>
      <w:r w:rsidRPr="00804772">
        <w:rPr>
          <w:rFonts w:ascii="Calibri" w:eastAsia="Calibri" w:hAnsi="Calibri" w:cs="Calibri"/>
          <w:lang w:val="en-US"/>
        </w:rPr>
        <w:t xml:space="preserve">]. </w:t>
      </w:r>
    </w:p>
    <w:p w14:paraId="04893A56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By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year of first goal/projection</w:t>
      </w:r>
      <w:r w:rsidRPr="00804772">
        <w:rPr>
          <w:rFonts w:ascii="Calibri" w:eastAsia="Calibri" w:hAnsi="Calibri" w:cs="Calibri"/>
          <w:lang w:val="en-US"/>
        </w:rPr>
        <w:t xml:space="preserve">] we aim to have </w:t>
      </w:r>
      <w:r w:rsidRPr="00804772">
        <w:rPr>
          <w:rFonts w:ascii="Calibri" w:eastAsia="Calibri" w:hAnsi="Calibri" w:cs="Calibri"/>
          <w:i/>
          <w:lang w:val="en-US"/>
        </w:rPr>
        <w:t>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goal/projection</w:t>
      </w:r>
      <w:r w:rsidRPr="00804772">
        <w:rPr>
          <w:rFonts w:ascii="Calibri" w:eastAsia="Calibri" w:hAnsi="Calibri" w:cs="Calibri"/>
          <w:i/>
          <w:lang w:val="en-US"/>
        </w:rPr>
        <w:t>]</w:t>
      </w:r>
      <w:r w:rsidRPr="008047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EV</w:t>
      </w:r>
      <w:r w:rsidRPr="00804772">
        <w:rPr>
          <w:rFonts w:ascii="Calibri" w:eastAsia="Calibri" w:hAnsi="Calibri" w:cs="Calibri"/>
          <w:lang w:val="en-US"/>
        </w:rPr>
        <w:t>s registered in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jurisdiction name</w:t>
      </w:r>
      <w:r w:rsidRPr="00804772">
        <w:rPr>
          <w:rFonts w:ascii="Calibri" w:eastAsia="Calibri" w:hAnsi="Calibri" w:cs="Calibri"/>
          <w:lang w:val="en-US"/>
        </w:rPr>
        <w:t xml:space="preserve">]. </w:t>
      </w:r>
    </w:p>
    <w:p w14:paraId="1F8FA666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By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year of first goal/projection</w:t>
      </w:r>
      <w:r w:rsidRPr="00804772">
        <w:rPr>
          <w:rFonts w:ascii="Calibri" w:eastAsia="Calibri" w:hAnsi="Calibri" w:cs="Calibri"/>
          <w:lang w:val="en-US"/>
        </w:rPr>
        <w:t xml:space="preserve">] we aim to have </w:t>
      </w:r>
      <w:r w:rsidRPr="00804772">
        <w:rPr>
          <w:rFonts w:ascii="Calibri" w:eastAsia="Calibri" w:hAnsi="Calibri" w:cs="Calibri"/>
          <w:i/>
          <w:lang w:val="en-US"/>
        </w:rPr>
        <w:t>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goal/projection</w:t>
      </w:r>
      <w:r w:rsidRPr="00804772">
        <w:rPr>
          <w:rFonts w:ascii="Calibri" w:eastAsia="Calibri" w:hAnsi="Calibri" w:cs="Calibri"/>
          <w:i/>
          <w:lang w:val="en-US"/>
        </w:rPr>
        <w:t>]</w:t>
      </w:r>
      <w:r w:rsidRPr="008047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EV</w:t>
      </w:r>
      <w:r w:rsidRPr="00804772">
        <w:rPr>
          <w:rFonts w:ascii="Calibri" w:eastAsia="Calibri" w:hAnsi="Calibri" w:cs="Calibri"/>
          <w:lang w:val="en-US"/>
        </w:rPr>
        <w:t>s registered in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jurisdiction name</w:t>
      </w:r>
      <w:r w:rsidRPr="00804772">
        <w:rPr>
          <w:rFonts w:ascii="Calibri" w:eastAsia="Calibri" w:hAnsi="Calibri" w:cs="Calibri"/>
          <w:lang w:val="en-US"/>
        </w:rPr>
        <w:t xml:space="preserve">]. </w:t>
      </w:r>
    </w:p>
    <w:p w14:paraId="64EF5086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By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year of first goal/projection</w:t>
      </w:r>
      <w:r w:rsidRPr="00804772">
        <w:rPr>
          <w:rFonts w:ascii="Calibri" w:eastAsia="Calibri" w:hAnsi="Calibri" w:cs="Calibri"/>
          <w:lang w:val="en-US"/>
        </w:rPr>
        <w:t xml:space="preserve">] we aim to have </w:t>
      </w:r>
      <w:r w:rsidRPr="00804772">
        <w:rPr>
          <w:rFonts w:ascii="Calibri" w:eastAsia="Calibri" w:hAnsi="Calibri" w:cs="Calibri"/>
          <w:i/>
          <w:lang w:val="en-US"/>
        </w:rPr>
        <w:t>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goal/projection</w:t>
      </w:r>
      <w:r w:rsidRPr="00804772">
        <w:rPr>
          <w:rFonts w:ascii="Calibri" w:eastAsia="Calibri" w:hAnsi="Calibri" w:cs="Calibri"/>
          <w:i/>
          <w:lang w:val="en-US"/>
        </w:rPr>
        <w:t>]</w:t>
      </w:r>
      <w:r w:rsidRPr="0080477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EV</w:t>
      </w:r>
      <w:r w:rsidRPr="00804772">
        <w:rPr>
          <w:rFonts w:ascii="Calibri" w:eastAsia="Calibri" w:hAnsi="Calibri" w:cs="Calibri"/>
          <w:lang w:val="en-US"/>
        </w:rPr>
        <w:t>s registered in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jurisdiction name</w:t>
      </w:r>
      <w:r w:rsidRPr="00804772">
        <w:rPr>
          <w:rFonts w:ascii="Calibri" w:eastAsia="Calibri" w:hAnsi="Calibri" w:cs="Calibri"/>
          <w:lang w:val="en-US"/>
        </w:rPr>
        <w:t xml:space="preserve">]. </w:t>
      </w:r>
    </w:p>
    <w:p w14:paraId="4BF10ABB" w14:textId="77777777" w:rsidR="00A761EB" w:rsidRPr="00804772" w:rsidRDefault="00A761EB" w:rsidP="00A761EB">
      <w:pPr>
        <w:rPr>
          <w:rFonts w:ascii="Calibri" w:eastAsia="Calibri" w:hAnsi="Calibri" w:cs="Calibri"/>
          <w:b/>
          <w:lang w:val="en-US"/>
        </w:rPr>
      </w:pPr>
    </w:p>
    <w:p w14:paraId="793590E8" w14:textId="77777777" w:rsidR="00A761EB" w:rsidRPr="00804772" w:rsidRDefault="00A761EB" w:rsidP="00A761EB">
      <w:pPr>
        <w:rPr>
          <w:rFonts w:ascii="Calibri" w:eastAsia="Calibri" w:hAnsi="Calibri" w:cs="Calibri"/>
          <w:lang w:val="en-US"/>
        </w:rPr>
      </w:pPr>
      <w:r w:rsidRPr="00804772">
        <w:rPr>
          <w:rFonts w:ascii="Calibri" w:eastAsia="Calibri" w:hAnsi="Calibri" w:cs="Calibri"/>
          <w:lang w:val="en-US"/>
        </w:rPr>
        <w:t>An analysis using the EVI-Pro Lite tool determined charger needs for [</w:t>
      </w:r>
      <w:r w:rsidRPr="00804772">
        <w:rPr>
          <w:rFonts w:ascii="Calibri" w:eastAsia="Calibri" w:hAnsi="Calibri" w:cs="Calibri"/>
          <w:i/>
          <w:color w:val="FF0000"/>
          <w:lang w:val="en-US"/>
        </w:rPr>
        <w:t>jurisdiction name</w:t>
      </w:r>
      <w:r w:rsidRPr="00804772">
        <w:rPr>
          <w:rFonts w:ascii="Calibri" w:eastAsia="Calibri" w:hAnsi="Calibri" w:cs="Calibri"/>
          <w:lang w:val="en-US"/>
        </w:rPr>
        <w:t>] under various scenarios.</w:t>
      </w:r>
    </w:p>
    <w:p w14:paraId="1705007B" w14:textId="77777777" w:rsidR="00A761EB" w:rsidRPr="00804772" w:rsidRDefault="00A761EB" w:rsidP="00A761EB">
      <w:pPr>
        <w:rPr>
          <w:rFonts w:ascii="Calibri" w:eastAsia="Calibri" w:hAnsi="Calibri" w:cs="Calibri"/>
          <w:b/>
          <w:lang w:val="en-US"/>
        </w:rPr>
      </w:pP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635"/>
        <w:gridCol w:w="1590"/>
        <w:gridCol w:w="1695"/>
        <w:gridCol w:w="1650"/>
      </w:tblGrid>
      <w:tr w:rsidR="00A761EB" w:rsidRPr="00804772" w14:paraId="21BE761F" w14:textId="77777777">
        <w:trPr>
          <w:trHeight w:val="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2D40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804772">
              <w:rPr>
                <w:rFonts w:ascii="Calibri" w:eastAsia="Calibri" w:hAnsi="Calibri" w:cs="Calibri"/>
                <w:b/>
                <w:lang w:val="en-US"/>
              </w:rPr>
              <w:t>Scenario Description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BD6D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804772">
              <w:rPr>
                <w:rFonts w:ascii="Calibri" w:eastAsia="Calibri" w:hAnsi="Calibri" w:cs="Calibri"/>
                <w:b/>
                <w:lang w:val="en-US"/>
              </w:rPr>
              <w:t>Single</w:t>
            </w:r>
            <w:r>
              <w:rPr>
                <w:rFonts w:ascii="Calibri" w:eastAsia="Calibri" w:hAnsi="Calibri" w:cs="Calibri"/>
                <w:b/>
                <w:lang w:val="en-US"/>
              </w:rPr>
              <w:t>-</w:t>
            </w:r>
            <w:r w:rsidRPr="00804772">
              <w:rPr>
                <w:rFonts w:ascii="Calibri" w:eastAsia="Calibri" w:hAnsi="Calibri" w:cs="Calibri"/>
                <w:b/>
                <w:lang w:val="en-US"/>
              </w:rPr>
              <w:t>Family Charging Ports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DBE3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804772">
              <w:rPr>
                <w:rFonts w:ascii="Calibri" w:eastAsia="Calibri" w:hAnsi="Calibri" w:cs="Calibri"/>
                <w:b/>
                <w:lang w:val="en-US"/>
              </w:rPr>
              <w:t>Shared Private Charging Ports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4C68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804772">
              <w:rPr>
                <w:rFonts w:ascii="Calibri" w:eastAsia="Calibri" w:hAnsi="Calibri" w:cs="Calibri"/>
                <w:b/>
                <w:lang w:val="en-US"/>
              </w:rPr>
              <w:t>Public Level 2 Charging Ports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33C9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804772">
              <w:rPr>
                <w:rFonts w:ascii="Calibri" w:eastAsia="Calibri" w:hAnsi="Calibri" w:cs="Calibri"/>
                <w:b/>
                <w:lang w:val="en-US"/>
              </w:rPr>
              <w:t>Public DC Fast Charging Ports</w:t>
            </w:r>
          </w:p>
        </w:tc>
      </w:tr>
      <w:tr w:rsidR="00A761EB" w:rsidRPr="00804772" w14:paraId="700B7489" w14:textId="77777777">
        <w:trPr>
          <w:trHeight w:val="51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3D68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Year: </w:t>
            </w:r>
          </w:p>
          <w:p w14:paraId="2A2E96D3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# of Vehicles:</w:t>
            </w:r>
          </w:p>
          <w:p w14:paraId="585CE089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% of At-Home Charging: </w:t>
            </w:r>
          </w:p>
          <w:p w14:paraId="7E1ED756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Other Scenario Characteristics: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E9D8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B0A6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BE73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2A74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A761EB" w:rsidRPr="00804772" w14:paraId="2C04789D" w14:textId="77777777">
        <w:trPr>
          <w:trHeight w:val="42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A828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Year: </w:t>
            </w:r>
          </w:p>
          <w:p w14:paraId="6979A7B9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# of Vehicles:</w:t>
            </w:r>
          </w:p>
          <w:p w14:paraId="7B244FF4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% of At-Home Charging: </w:t>
            </w:r>
          </w:p>
          <w:p w14:paraId="3B1C3C20" w14:textId="77777777" w:rsidR="00A761EB" w:rsidRPr="00466D9F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Other Scenario Characteristics: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7476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AEBB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09EF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F309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A761EB" w:rsidRPr="00804772" w14:paraId="17D69AD8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D86E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Year: </w:t>
            </w:r>
          </w:p>
          <w:p w14:paraId="3CE2D30C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# of Vehicles:</w:t>
            </w:r>
          </w:p>
          <w:p w14:paraId="64C73A17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% of At-Home Charging: </w:t>
            </w:r>
          </w:p>
          <w:p w14:paraId="4A0C702D" w14:textId="77777777" w:rsidR="00A761EB" w:rsidRPr="00466D9F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Other Scenario Characteristics: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56CC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B1E4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533F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3C14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A761EB" w:rsidRPr="00804772" w14:paraId="02BD8DB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0033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Year: </w:t>
            </w:r>
          </w:p>
          <w:p w14:paraId="37B7730E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# of Vehicles:</w:t>
            </w:r>
          </w:p>
          <w:p w14:paraId="13C5A15A" w14:textId="77777777" w:rsidR="00A761EB" w:rsidRPr="00466D9F" w:rsidRDefault="00A761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 xml:space="preserve">% of At-Home Charging: </w:t>
            </w:r>
          </w:p>
          <w:p w14:paraId="1FCBB531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466D9F">
              <w:rPr>
                <w:rFonts w:ascii="Calibri" w:eastAsia="Calibri" w:hAnsi="Calibri" w:cs="Calibri"/>
                <w:i/>
                <w:lang w:val="en-US"/>
              </w:rPr>
              <w:t>Other Scenario Characteristics: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D4D1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42B9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8328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681B" w14:textId="77777777" w:rsidR="00A761EB" w:rsidRPr="00804772" w:rsidRDefault="00A7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14:paraId="3CF30212" w14:textId="77777777" w:rsidR="00A761EB" w:rsidRPr="00804772" w:rsidRDefault="00A761EB" w:rsidP="00A761EB">
      <w:pPr>
        <w:rPr>
          <w:rFonts w:ascii="Calibri" w:eastAsia="Calibri" w:hAnsi="Calibri" w:cs="Calibri"/>
          <w:b/>
          <w:lang w:val="en-US"/>
        </w:rPr>
      </w:pPr>
    </w:p>
    <w:p w14:paraId="00000058" w14:textId="77777777" w:rsidR="00305E9F" w:rsidRDefault="00305E9F">
      <w:pPr>
        <w:rPr>
          <w:rFonts w:ascii="Calibri" w:eastAsia="Calibri" w:hAnsi="Calibri" w:cs="Calibri"/>
          <w:b/>
        </w:rPr>
      </w:pPr>
    </w:p>
    <w:sectPr w:rsidR="00305E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Joanna Allerhand" w:date="2023-11-03T00:39:00Z" w:initials="">
    <w:p w14:paraId="4198F254" w14:textId="77777777" w:rsidR="00A761EB" w:rsidRDefault="00A761EB" w:rsidP="00A761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I'll format this as a worksheet once it's back in real Word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198F25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198F254" w16cid:durableId="290899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DB21C" w14:textId="77777777" w:rsidR="005A3C21" w:rsidRDefault="005A3C21">
      <w:pPr>
        <w:spacing w:line="240" w:lineRule="auto"/>
      </w:pPr>
      <w:r>
        <w:separator/>
      </w:r>
    </w:p>
  </w:endnote>
  <w:endnote w:type="continuationSeparator" w:id="0">
    <w:p w14:paraId="2161541C" w14:textId="77777777" w:rsidR="005A3C21" w:rsidRDefault="005A3C21">
      <w:pPr>
        <w:spacing w:line="240" w:lineRule="auto"/>
      </w:pPr>
      <w:r>
        <w:continuationSeparator/>
      </w:r>
    </w:p>
  </w:endnote>
  <w:endnote w:type="continuationNotice" w:id="1">
    <w:p w14:paraId="33A24E45" w14:textId="77777777" w:rsidR="005A3C21" w:rsidRDefault="005A3C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C" w14:textId="77777777" w:rsidR="00305E9F" w:rsidRDefault="00305E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E" w14:textId="4BB76D9C" w:rsidR="00305E9F" w:rsidRPr="00581C2B" w:rsidRDefault="00581C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  <w:lang w:val="en-US"/>
      </w:rPr>
    </w:pPr>
    <w:r w:rsidRPr="00581C2B">
      <w:rPr>
        <w:rStyle w:val="normaltextrun"/>
        <w:color w:val="000000"/>
        <w:sz w:val="20"/>
        <w:szCs w:val="20"/>
        <w:shd w:val="clear" w:color="auto" w:fill="FFFFFF"/>
      </w:rPr>
      <w:t>Th</w:t>
    </w:r>
    <w:r w:rsidR="00CA4085">
      <w:rPr>
        <w:rStyle w:val="normaltextrun"/>
        <w:color w:val="000000"/>
        <w:sz w:val="20"/>
        <w:szCs w:val="20"/>
        <w:shd w:val="clear" w:color="auto" w:fill="FFFFFF"/>
      </w:rPr>
      <w:t xml:space="preserve">is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content was adapted from resources developed by 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 xml:space="preserve">the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N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 xml:space="preserve">ational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 xml:space="preserve">enewable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E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 xml:space="preserve">nergy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L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>aboratory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and W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 xml:space="preserve">orld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>esource</w:t>
    </w:r>
    <w:r w:rsidR="00466D9F">
      <w:rPr>
        <w:rStyle w:val="normaltextrun"/>
        <w:color w:val="000000"/>
        <w:sz w:val="20"/>
        <w:szCs w:val="20"/>
        <w:shd w:val="clear" w:color="auto" w:fill="FFFFFF"/>
      </w:rPr>
      <w:t>s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 xml:space="preserve">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I</w:t>
    </w:r>
    <w:r w:rsidR="001676C6">
      <w:rPr>
        <w:rStyle w:val="normaltextrun"/>
        <w:color w:val="000000"/>
        <w:sz w:val="20"/>
        <w:szCs w:val="20"/>
        <w:shd w:val="clear" w:color="auto" w:fill="FFFFFF"/>
      </w:rPr>
      <w:t>nstitute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as part of the </w:t>
    </w:r>
    <w:hyperlink r:id="rId1" w:tgtFrame="_blank" w:history="1">
      <w:r w:rsidRPr="00581C2B">
        <w:rPr>
          <w:rStyle w:val="normaltextrun"/>
          <w:color w:val="1155CC"/>
          <w:sz w:val="20"/>
          <w:szCs w:val="20"/>
          <w:u w:val="single"/>
          <w:shd w:val="clear" w:color="auto" w:fill="FFFFFF"/>
        </w:rPr>
        <w:t>Clean Energy to Communities (C2C)</w:t>
      </w:r>
    </w:hyperlink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peer-learning cohorts and funded by the Joint Office of Energy and Transportation</w:t>
    </w:r>
    <w:r w:rsidR="00800AF5">
      <w:rPr>
        <w:rStyle w:val="normaltextrun"/>
        <w:color w:val="000000"/>
        <w:sz w:val="20"/>
        <w:szCs w:val="20"/>
        <w:shd w:val="clear" w:color="auto" w:fill="FFFFFF"/>
      </w:rPr>
      <w:t xml:space="preserve"> for</w:t>
    </w:r>
    <w:r w:rsidR="00CA4085">
      <w:rPr>
        <w:rStyle w:val="normaltextrun"/>
        <w:color w:val="000000"/>
        <w:sz w:val="20"/>
        <w:szCs w:val="20"/>
        <w:shd w:val="clear" w:color="auto" w:fill="FFFFFF"/>
      </w:rPr>
      <w:t xml:space="preserve"> distribution. </w:t>
    </w:r>
    <w:r w:rsidR="00800AF5">
      <w:rPr>
        <w:rStyle w:val="normaltextrun"/>
        <w:color w:val="000000"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D" w14:textId="77777777" w:rsidR="00305E9F" w:rsidRDefault="00305E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77BA5" w14:textId="77777777" w:rsidR="005A3C21" w:rsidRDefault="005A3C21">
      <w:pPr>
        <w:spacing w:line="240" w:lineRule="auto"/>
      </w:pPr>
      <w:r>
        <w:separator/>
      </w:r>
    </w:p>
  </w:footnote>
  <w:footnote w:type="continuationSeparator" w:id="0">
    <w:p w14:paraId="5C8A5FB0" w14:textId="77777777" w:rsidR="005A3C21" w:rsidRDefault="005A3C21">
      <w:pPr>
        <w:spacing w:line="240" w:lineRule="auto"/>
      </w:pPr>
      <w:r>
        <w:continuationSeparator/>
      </w:r>
    </w:p>
  </w:footnote>
  <w:footnote w:type="continuationNotice" w:id="1">
    <w:p w14:paraId="7E59FC6F" w14:textId="77777777" w:rsidR="005A3C21" w:rsidRDefault="005A3C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A" w14:textId="77777777" w:rsidR="00305E9F" w:rsidRDefault="00305E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9" w14:textId="77777777" w:rsidR="00305E9F" w:rsidRDefault="00305E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5B" w14:textId="77777777" w:rsidR="00305E9F" w:rsidRDefault="00305E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8267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5D504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260E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3298092">
    <w:abstractNumId w:val="1"/>
  </w:num>
  <w:num w:numId="2" w16cid:durableId="566303870">
    <w:abstractNumId w:val="0"/>
  </w:num>
  <w:num w:numId="3" w16cid:durableId="33962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9F"/>
    <w:rsid w:val="000377D5"/>
    <w:rsid w:val="00060DA3"/>
    <w:rsid w:val="00083050"/>
    <w:rsid w:val="000A789D"/>
    <w:rsid w:val="000D2843"/>
    <w:rsid w:val="00105513"/>
    <w:rsid w:val="001067A1"/>
    <w:rsid w:val="00121AD1"/>
    <w:rsid w:val="001676C6"/>
    <w:rsid w:val="00183712"/>
    <w:rsid w:val="00203AE5"/>
    <w:rsid w:val="00217656"/>
    <w:rsid w:val="00262197"/>
    <w:rsid w:val="002B3FFA"/>
    <w:rsid w:val="002B7C77"/>
    <w:rsid w:val="002C1A87"/>
    <w:rsid w:val="002E17A9"/>
    <w:rsid w:val="002F557F"/>
    <w:rsid w:val="002F62C3"/>
    <w:rsid w:val="00305E9F"/>
    <w:rsid w:val="0030737D"/>
    <w:rsid w:val="003C36D5"/>
    <w:rsid w:val="004242B7"/>
    <w:rsid w:val="00466D9F"/>
    <w:rsid w:val="004A78C9"/>
    <w:rsid w:val="004B539A"/>
    <w:rsid w:val="004D62A0"/>
    <w:rsid w:val="0052598F"/>
    <w:rsid w:val="00531C11"/>
    <w:rsid w:val="005429F3"/>
    <w:rsid w:val="00565D62"/>
    <w:rsid w:val="00576A89"/>
    <w:rsid w:val="00581C2B"/>
    <w:rsid w:val="005835BB"/>
    <w:rsid w:val="005A3029"/>
    <w:rsid w:val="005A3C21"/>
    <w:rsid w:val="005C29A6"/>
    <w:rsid w:val="0060564C"/>
    <w:rsid w:val="006645ED"/>
    <w:rsid w:val="0066761E"/>
    <w:rsid w:val="00672D97"/>
    <w:rsid w:val="00680B38"/>
    <w:rsid w:val="006C03A9"/>
    <w:rsid w:val="006C6DEF"/>
    <w:rsid w:val="00794142"/>
    <w:rsid w:val="007B04C8"/>
    <w:rsid w:val="00800AF5"/>
    <w:rsid w:val="00834066"/>
    <w:rsid w:val="00834C79"/>
    <w:rsid w:val="008C55B2"/>
    <w:rsid w:val="00906AC7"/>
    <w:rsid w:val="00926A74"/>
    <w:rsid w:val="00996045"/>
    <w:rsid w:val="009D3DD4"/>
    <w:rsid w:val="00A02094"/>
    <w:rsid w:val="00A4736D"/>
    <w:rsid w:val="00A761EB"/>
    <w:rsid w:val="00B16647"/>
    <w:rsid w:val="00B94F08"/>
    <w:rsid w:val="00C52AE5"/>
    <w:rsid w:val="00C926DB"/>
    <w:rsid w:val="00CA4085"/>
    <w:rsid w:val="00CC7BAD"/>
    <w:rsid w:val="00CE1AE0"/>
    <w:rsid w:val="00D356EF"/>
    <w:rsid w:val="00D42DD9"/>
    <w:rsid w:val="00D741F9"/>
    <w:rsid w:val="00DF06E2"/>
    <w:rsid w:val="00E52AF3"/>
    <w:rsid w:val="00E57637"/>
    <w:rsid w:val="00EB3572"/>
    <w:rsid w:val="00EB5ACD"/>
    <w:rsid w:val="00F4615E"/>
    <w:rsid w:val="00F548CD"/>
    <w:rsid w:val="00F815F8"/>
    <w:rsid w:val="0479DC99"/>
    <w:rsid w:val="0610E80D"/>
    <w:rsid w:val="06416C22"/>
    <w:rsid w:val="0BA9BCE0"/>
    <w:rsid w:val="0D458D41"/>
    <w:rsid w:val="0EF60F40"/>
    <w:rsid w:val="0EFF3850"/>
    <w:rsid w:val="1111B4EA"/>
    <w:rsid w:val="168546F0"/>
    <w:rsid w:val="19248184"/>
    <w:rsid w:val="197068DF"/>
    <w:rsid w:val="1FD09A9B"/>
    <w:rsid w:val="2086243A"/>
    <w:rsid w:val="20CF59DC"/>
    <w:rsid w:val="22E5F347"/>
    <w:rsid w:val="2543A71E"/>
    <w:rsid w:val="26538158"/>
    <w:rsid w:val="2978FE48"/>
    <w:rsid w:val="297F3796"/>
    <w:rsid w:val="2A49690D"/>
    <w:rsid w:val="2A64D3B5"/>
    <w:rsid w:val="2AA9422C"/>
    <w:rsid w:val="2B14CEA9"/>
    <w:rsid w:val="2CB09F0A"/>
    <w:rsid w:val="2CB6D858"/>
    <w:rsid w:val="2CF6901A"/>
    <w:rsid w:val="2E4C6F6B"/>
    <w:rsid w:val="2FE83FCC"/>
    <w:rsid w:val="3402FFB2"/>
    <w:rsid w:val="360884F7"/>
    <w:rsid w:val="39BE91C3"/>
    <w:rsid w:val="39D06C8B"/>
    <w:rsid w:val="3D704B77"/>
    <w:rsid w:val="44115878"/>
    <w:rsid w:val="444AD922"/>
    <w:rsid w:val="46A8B6D0"/>
    <w:rsid w:val="46DB786E"/>
    <w:rsid w:val="49C72F35"/>
    <w:rsid w:val="4B101236"/>
    <w:rsid w:val="4D0CC36F"/>
    <w:rsid w:val="4E9AA058"/>
    <w:rsid w:val="4F4A9B4C"/>
    <w:rsid w:val="52796509"/>
    <w:rsid w:val="56847124"/>
    <w:rsid w:val="597855E7"/>
    <w:rsid w:val="5A5B20A0"/>
    <w:rsid w:val="5D228292"/>
    <w:rsid w:val="638F1256"/>
    <w:rsid w:val="64BEE5DF"/>
    <w:rsid w:val="64E47540"/>
    <w:rsid w:val="64F86689"/>
    <w:rsid w:val="6527F32C"/>
    <w:rsid w:val="685F93EE"/>
    <w:rsid w:val="69624172"/>
    <w:rsid w:val="69FB644F"/>
    <w:rsid w:val="6BA3F938"/>
    <w:rsid w:val="6CCC4A04"/>
    <w:rsid w:val="6E51AAE8"/>
    <w:rsid w:val="772065D9"/>
    <w:rsid w:val="7723C571"/>
    <w:rsid w:val="784E638D"/>
    <w:rsid w:val="79EFDB2E"/>
    <w:rsid w:val="7A5E2D30"/>
    <w:rsid w:val="7AE4D280"/>
    <w:rsid w:val="7F4D9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E724F"/>
  <w15:docId w15:val="{839C54B0-2F6E-48D7-9A0A-82B2EB4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6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D2"/>
  </w:style>
  <w:style w:type="paragraph" w:styleId="Footer">
    <w:name w:val="footer"/>
    <w:basedOn w:val="Normal"/>
    <w:link w:val="FooterChar"/>
    <w:uiPriority w:val="99"/>
    <w:unhideWhenUsed/>
    <w:rsid w:val="00E606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D2"/>
  </w:style>
  <w:style w:type="character" w:styleId="Hyperlink">
    <w:name w:val="Hyperlink"/>
    <w:basedOn w:val="DefaultParagraphFont"/>
    <w:uiPriority w:val="99"/>
    <w:unhideWhenUsed/>
    <w:rsid w:val="007619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9A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58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.nrel.gov/submissions/214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rel.gov/transportation/evi-roadtrip.html" TargetMode="External"/><Relationship Id="rId17" Type="http://schemas.openxmlformats.org/officeDocument/2006/relationships/comments" Target="comment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fdc.energy.gov/evi-pro-li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NREL/EVI-OnDemand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ata.nrel.gov/submissions/214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electric.gov/files/2030-charging-network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cas-proxyweb.mcas.ms/certificate-checker?login=false&amp;originalUrl=http%3A%2F%2Fwww.nrel.gov.mcas.ms%2Fc2c%3FMcasTsid%3D20892&amp;McasCSRF=ad3a8f1cf5807f8c1a1a9a9bd9866b88672e78f51cad48cb3e80f2b6c568da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+V95mmgGmdSvpVbRZ7PsCJcGxw==">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0205c-0631-4ff0-81c6-46eee12fe7e9" xsi:nil="true"/>
    <lcf76f155ced4ddcb4097134ff3c332f xmlns="b078a8c4-3a19-4d0d-8bf4-ceaf701cb06e">
      <Terms xmlns="http://schemas.microsoft.com/office/infopath/2007/PartnerControls"/>
    </lcf76f155ced4ddcb4097134ff3c332f>
    <SharedWithUsers xmlns="45586b8d-cf79-482f-b8f4-38ad0fd0bb8b">
      <UserInfo>
        <DisplayName/>
        <AccountId xsi:nil="true"/>
        <AccountType/>
      </UserInfo>
    </SharedWithUsers>
    <MediaLengthInSeconds xmlns="b078a8c4-3a19-4d0d-8bf4-ceaf701cb06e" xsi:nil="true"/>
    <ApprovedBy xmlns="b078a8c4-3a19-4d0d-8bf4-ceaf701cb06e">
      <UserInfo>
        <DisplayName/>
        <AccountId xsi:nil="true"/>
        <AccountType/>
      </UserInfo>
    </Approv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89A95C2C144DAEDE9671491BC3D5" ma:contentTypeVersion="16" ma:contentTypeDescription="Create a new document." ma:contentTypeScope="" ma:versionID="378ffacf845a80b193b94f48f68735c1">
  <xsd:schema xmlns:xsd="http://www.w3.org/2001/XMLSchema" xmlns:xs="http://www.w3.org/2001/XMLSchema" xmlns:p="http://schemas.microsoft.com/office/2006/metadata/properties" xmlns:ns2="b078a8c4-3a19-4d0d-8bf4-ceaf701cb06e" xmlns:ns3="45586b8d-cf79-482f-b8f4-38ad0fd0bb8b" xmlns:ns4="0a20205c-0631-4ff0-81c6-46eee12fe7e9" targetNamespace="http://schemas.microsoft.com/office/2006/metadata/properties" ma:root="true" ma:fieldsID="91201c395f5851e3e1c1c0d4e2d34e72" ns2:_="" ns3:_="" ns4:_="">
    <xsd:import namespace="b078a8c4-3a19-4d0d-8bf4-ceaf701cb06e"/>
    <xsd:import namespace="45586b8d-cf79-482f-b8f4-38ad0fd0bb8b"/>
    <xsd:import namespace="0a20205c-0631-4ff0-81c6-46eee12f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ApprovedB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a8c4-3a19-4d0d-8bf4-ceaf701cb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ApprovedBy" ma:index="22" nillable="true" ma:displayName="Approved By" ma:description="Green lit by reviewer/modifier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86b8d-cf79-482f-b8f4-38ad0fd0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205c-0631-4ff0-81c6-46eee12fe7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0db175c-2f1c-433d-aa79-7a9d82748c75}" ma:internalName="TaxCatchAll" ma:showField="CatchAllData" ma:web="45586b8d-cf79-482f-b8f4-38ad0fd0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FB3F41-83B0-46FE-B5D0-2047B5633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454F-27CD-450F-97CF-0BB605675810}">
  <ds:schemaRefs>
    <ds:schemaRef ds:uri="http://schemas.microsoft.com/office/2006/metadata/properties"/>
    <ds:schemaRef ds:uri="http://schemas.microsoft.com/office/infopath/2007/PartnerControls"/>
    <ds:schemaRef ds:uri="0a20205c-0631-4ff0-81c6-46eee12fe7e9"/>
    <ds:schemaRef ds:uri="b078a8c4-3a19-4d0d-8bf4-ceaf701cb06e"/>
    <ds:schemaRef ds:uri="45586b8d-cf79-482f-b8f4-38ad0fd0bb8b"/>
  </ds:schemaRefs>
</ds:datastoreItem>
</file>

<file path=customXml/itemProps4.xml><?xml version="1.0" encoding="utf-8"?>
<ds:datastoreItem xmlns:ds="http://schemas.openxmlformats.org/officeDocument/2006/customXml" ds:itemID="{BE802A54-AF57-4DAE-AE8D-FAEADBE7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8a8c4-3a19-4d0d-8bf4-ceaf701cb06e"/>
    <ds:schemaRef ds:uri="45586b8d-cf79-482f-b8f4-38ad0fd0bb8b"/>
    <ds:schemaRef ds:uri="0a20205c-0631-4ff0-81c6-46eee12f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4332</Characters>
  <Application>Microsoft Office Word</Application>
  <DocSecurity>4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Jeffers, Christin</dc:creator>
  <cp:keywords/>
  <cp:lastModifiedBy>Jeffers, Christin</cp:lastModifiedBy>
  <cp:revision>38</cp:revision>
  <dcterms:created xsi:type="dcterms:W3CDTF">2023-11-22T23:13:00Z</dcterms:created>
  <dcterms:modified xsi:type="dcterms:W3CDTF">2024-02-19T23:42:00Z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2023-10-06T22:09:53Z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7c06281b-4de8-4a62-b454-1cc760e38988</vt:lpwstr>
  </property>
  <property fmtid="{D5CDD505-2E9C-101B-9397-08002B2CF9AE}" pid="8" name="MSIP_Label_95965d95-ecc0-4720-b759-1f33c42ed7da_ContentBits">
    <vt:lpwstr>0</vt:lpwstr>
  </property>
  <property fmtid="{D5CDD505-2E9C-101B-9397-08002B2CF9AE}" pid="9" name="ContentTypeId">
    <vt:lpwstr>0x010100338789A95C2C144DAEDE9671491BC3D5</vt:lpwstr>
  </property>
  <property fmtid="{D5CDD505-2E9C-101B-9397-08002B2CF9AE}" pid="10" name="MediaServiceImageTags">
    <vt:lpwstr/>
  </property>
  <property fmtid="{D5CDD505-2E9C-101B-9397-08002B2CF9AE}" pid="11" name="Order">
    <vt:r8>530200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Approved?">
    <vt:bool>true</vt:bool>
  </property>
</Properties>
</file>